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FB6A" w14:textId="2B78B1E6" w:rsidR="00E450F7" w:rsidRPr="004C52FE" w:rsidRDefault="006C4818" w:rsidP="004507EA">
      <w:pPr>
        <w:jc w:val="center"/>
        <w:rPr>
          <w:rFonts w:ascii="Arial Narrow" w:hAnsi="Arial Narrow" w:cstheme="minorHAnsi"/>
          <w:b/>
          <w:color w:val="323E4F" w:themeColor="text2" w:themeShade="BF"/>
          <w:sz w:val="28"/>
          <w:szCs w:val="28"/>
        </w:rPr>
      </w:pPr>
      <w:bookmarkStart w:id="0" w:name="_GoBack"/>
      <w:bookmarkEnd w:id="0"/>
      <w:r>
        <w:rPr>
          <w:rFonts w:ascii="Arial Narrow" w:hAnsi="Arial Narrow" w:cstheme="minorHAnsi"/>
          <w:b/>
          <w:color w:val="323E4F" w:themeColor="text2" w:themeShade="BF"/>
          <w:sz w:val="28"/>
          <w:szCs w:val="28"/>
        </w:rPr>
        <w:t>R</w:t>
      </w:r>
      <w:r w:rsidR="00E450F7" w:rsidRPr="004C52FE">
        <w:rPr>
          <w:rFonts w:ascii="Arial Narrow" w:hAnsi="Arial Narrow" w:cstheme="minorHAnsi"/>
          <w:b/>
          <w:color w:val="323E4F" w:themeColor="text2" w:themeShade="BF"/>
          <w:sz w:val="28"/>
          <w:szCs w:val="28"/>
        </w:rPr>
        <w:t>eporte de cumplimiento de políticas nacionales</w:t>
      </w:r>
    </w:p>
    <w:tbl>
      <w:tblPr>
        <w:tblStyle w:val="Tablaconcuadrcula"/>
        <w:tblW w:w="9130" w:type="dxa"/>
        <w:tblLook w:val="04A0" w:firstRow="1" w:lastRow="0" w:firstColumn="1" w:lastColumn="0" w:noHBand="0" w:noVBand="1"/>
      </w:tblPr>
      <w:tblGrid>
        <w:gridCol w:w="1972"/>
        <w:gridCol w:w="7158"/>
      </w:tblGrid>
      <w:tr w:rsidR="00E450F7" w:rsidRPr="004C52FE" w14:paraId="4FFF4CF7" w14:textId="77777777" w:rsidTr="006F5CBD">
        <w:trPr>
          <w:trHeight w:val="330"/>
        </w:trPr>
        <w:tc>
          <w:tcPr>
            <w:tcW w:w="1972" w:type="dxa"/>
            <w:vAlign w:val="center"/>
          </w:tcPr>
          <w:p w14:paraId="5B82EEF0" w14:textId="77777777" w:rsidR="00E450F7" w:rsidRPr="004C52FE" w:rsidRDefault="00E450F7" w:rsidP="00186F80">
            <w:pPr>
              <w:rPr>
                <w:rFonts w:ascii="Arial Narrow" w:hAnsi="Arial Narrow" w:cstheme="minorHAnsi"/>
                <w:b/>
              </w:rPr>
            </w:pPr>
            <w:r w:rsidRPr="004C52FE">
              <w:rPr>
                <w:rFonts w:ascii="Arial Narrow" w:hAnsi="Arial Narrow" w:cstheme="minorHAnsi"/>
                <w:b/>
              </w:rPr>
              <w:t>Política nacional</w:t>
            </w:r>
          </w:p>
        </w:tc>
        <w:tc>
          <w:tcPr>
            <w:tcW w:w="7158" w:type="dxa"/>
            <w:vAlign w:val="center"/>
          </w:tcPr>
          <w:p w14:paraId="491544DA" w14:textId="10254952" w:rsidR="00E450F7" w:rsidRPr="004C52FE" w:rsidRDefault="00CD3C40" w:rsidP="00186F80">
            <w:pPr>
              <w:rPr>
                <w:rFonts w:ascii="Arial Narrow" w:hAnsi="Arial Narrow" w:cstheme="minorHAnsi"/>
                <w:color w:val="4472C4" w:themeColor="accent1"/>
              </w:rPr>
            </w:pPr>
            <w:r w:rsidRPr="00CD3C40">
              <w:rPr>
                <w:rFonts w:ascii="Arial Narrow" w:hAnsi="Arial Narrow" w:cstheme="minorHAnsi"/>
              </w:rPr>
              <w:t>Política Nacional de Desarrollo e Inclusión Social</w:t>
            </w:r>
            <w:r>
              <w:rPr>
                <w:rFonts w:ascii="Arial Narrow" w:hAnsi="Arial Narrow" w:cstheme="minorHAnsi"/>
              </w:rPr>
              <w:t xml:space="preserve"> (PNDIS).</w:t>
            </w:r>
          </w:p>
        </w:tc>
      </w:tr>
      <w:tr w:rsidR="00E450F7" w:rsidRPr="004C52FE" w14:paraId="266EB6B7" w14:textId="77777777" w:rsidTr="006C4818">
        <w:trPr>
          <w:trHeight w:val="472"/>
        </w:trPr>
        <w:tc>
          <w:tcPr>
            <w:tcW w:w="1972" w:type="dxa"/>
            <w:vAlign w:val="center"/>
          </w:tcPr>
          <w:p w14:paraId="10387D8B" w14:textId="77777777" w:rsidR="00E450F7" w:rsidRPr="004C52FE" w:rsidRDefault="00E450F7" w:rsidP="00186F80">
            <w:pPr>
              <w:rPr>
                <w:rFonts w:ascii="Arial Narrow" w:hAnsi="Arial Narrow" w:cstheme="minorHAnsi"/>
                <w:b/>
              </w:rPr>
            </w:pPr>
            <w:r w:rsidRPr="004C52FE">
              <w:rPr>
                <w:rFonts w:ascii="Arial Narrow" w:hAnsi="Arial Narrow" w:cstheme="minorHAnsi"/>
                <w:b/>
              </w:rPr>
              <w:t>Ministerio rector o conductor</w:t>
            </w:r>
          </w:p>
        </w:tc>
        <w:tc>
          <w:tcPr>
            <w:tcW w:w="7158" w:type="dxa"/>
            <w:vAlign w:val="center"/>
          </w:tcPr>
          <w:p w14:paraId="623500DB" w14:textId="1D079A2B" w:rsidR="00E450F7" w:rsidRPr="00CD3C40" w:rsidRDefault="00CD3C40" w:rsidP="00186F80">
            <w:pPr>
              <w:rPr>
                <w:rFonts w:ascii="Arial Narrow" w:hAnsi="Arial Narrow" w:cstheme="minorHAnsi"/>
              </w:rPr>
            </w:pPr>
            <w:r w:rsidRPr="00CD3C40">
              <w:rPr>
                <w:rFonts w:ascii="Arial Narrow" w:hAnsi="Arial Narrow" w:cstheme="minorHAnsi"/>
              </w:rPr>
              <w:t>Ministerio de Desarrollo e Inclusión Social</w:t>
            </w:r>
            <w:r>
              <w:rPr>
                <w:rFonts w:ascii="Arial Narrow" w:hAnsi="Arial Narrow" w:cstheme="minorHAnsi"/>
              </w:rPr>
              <w:t xml:space="preserve"> (MIDIS).</w:t>
            </w:r>
          </w:p>
        </w:tc>
      </w:tr>
      <w:tr w:rsidR="00E450F7" w:rsidRPr="004C52FE" w14:paraId="0B539337" w14:textId="77777777" w:rsidTr="006F5CBD">
        <w:trPr>
          <w:trHeight w:val="369"/>
        </w:trPr>
        <w:tc>
          <w:tcPr>
            <w:tcW w:w="1972" w:type="dxa"/>
            <w:vAlign w:val="center"/>
          </w:tcPr>
          <w:p w14:paraId="00644634" w14:textId="77777777" w:rsidR="00E450F7" w:rsidRPr="004C52FE" w:rsidRDefault="00E450F7" w:rsidP="00186F80">
            <w:pPr>
              <w:rPr>
                <w:rFonts w:ascii="Arial Narrow" w:hAnsi="Arial Narrow" w:cstheme="minorHAnsi"/>
                <w:b/>
              </w:rPr>
            </w:pPr>
            <w:r w:rsidRPr="004C52FE">
              <w:rPr>
                <w:rFonts w:ascii="Arial Narrow" w:hAnsi="Arial Narrow" w:cstheme="minorHAnsi"/>
                <w:b/>
              </w:rPr>
              <w:t>Problema público</w:t>
            </w:r>
          </w:p>
        </w:tc>
        <w:tc>
          <w:tcPr>
            <w:tcW w:w="7158" w:type="dxa"/>
            <w:vAlign w:val="center"/>
          </w:tcPr>
          <w:p w14:paraId="21E5E374" w14:textId="52D07B54" w:rsidR="00E450F7" w:rsidRPr="00CD3C40" w:rsidRDefault="00CD3C40" w:rsidP="00186F80">
            <w:pPr>
              <w:rPr>
                <w:rFonts w:ascii="Arial Narrow" w:hAnsi="Arial Narrow" w:cstheme="minorHAnsi"/>
              </w:rPr>
            </w:pPr>
            <w:r w:rsidRPr="00CD3C40">
              <w:rPr>
                <w:rFonts w:ascii="Arial Narrow" w:hAnsi="Arial Narrow" w:cstheme="minorHAnsi"/>
              </w:rPr>
              <w:t>Exclusión social que genera pobreza a lo largo del ciclo de vida de las personas</w:t>
            </w:r>
            <w:r>
              <w:rPr>
                <w:rStyle w:val="Refdenotaalpie"/>
                <w:rFonts w:ascii="Arial Narrow" w:hAnsi="Arial Narrow" w:cstheme="minorHAnsi"/>
              </w:rPr>
              <w:footnoteReference w:id="1"/>
            </w:r>
            <w:r>
              <w:rPr>
                <w:rFonts w:ascii="Arial Narrow" w:hAnsi="Arial Narrow" w:cstheme="minorHAnsi"/>
              </w:rPr>
              <w:t>.</w:t>
            </w:r>
          </w:p>
        </w:tc>
      </w:tr>
      <w:tr w:rsidR="00E450F7" w:rsidRPr="004C52FE" w14:paraId="3B293F40" w14:textId="77777777" w:rsidTr="006F5CBD">
        <w:trPr>
          <w:trHeight w:val="417"/>
        </w:trPr>
        <w:tc>
          <w:tcPr>
            <w:tcW w:w="1972" w:type="dxa"/>
            <w:vAlign w:val="center"/>
          </w:tcPr>
          <w:p w14:paraId="7063DD17" w14:textId="77777777" w:rsidR="00E450F7" w:rsidRPr="004C52FE" w:rsidRDefault="00E450F7" w:rsidP="00186F80">
            <w:pPr>
              <w:rPr>
                <w:rFonts w:ascii="Arial Narrow" w:hAnsi="Arial Narrow" w:cstheme="minorHAnsi"/>
                <w:b/>
              </w:rPr>
            </w:pPr>
            <w:r w:rsidRPr="004C52FE">
              <w:rPr>
                <w:rFonts w:ascii="Arial Narrow" w:hAnsi="Arial Narrow" w:cstheme="minorHAnsi"/>
                <w:b/>
              </w:rPr>
              <w:t>Dispositivo legal</w:t>
            </w:r>
          </w:p>
        </w:tc>
        <w:tc>
          <w:tcPr>
            <w:tcW w:w="7158" w:type="dxa"/>
            <w:vAlign w:val="center"/>
          </w:tcPr>
          <w:p w14:paraId="4225B1F8" w14:textId="53058178" w:rsidR="00E450F7" w:rsidRPr="00CD3C40" w:rsidRDefault="00CD3C40" w:rsidP="00186F80">
            <w:pPr>
              <w:rPr>
                <w:rFonts w:ascii="Arial Narrow" w:hAnsi="Arial Narrow" w:cstheme="minorHAnsi"/>
              </w:rPr>
            </w:pPr>
            <w:r w:rsidRPr="00CD3C40">
              <w:rPr>
                <w:rFonts w:ascii="Arial Narrow" w:hAnsi="Arial Narrow" w:cstheme="minorHAnsi"/>
              </w:rPr>
              <w:t>Decreto Supremo N° 008-2013-MIDIS y Decreto Supremo N° 003-2016-MIDIS.</w:t>
            </w:r>
          </w:p>
        </w:tc>
      </w:tr>
    </w:tbl>
    <w:p w14:paraId="13C2B459" w14:textId="176E59CF" w:rsidR="00E450F7" w:rsidRPr="004C52FE" w:rsidRDefault="00E450F7" w:rsidP="00E450F7">
      <w:pPr>
        <w:rPr>
          <w:rFonts w:ascii="Arial Narrow" w:hAnsi="Arial Narrow" w:cstheme="minorHAnsi"/>
          <w:b/>
        </w:rPr>
      </w:pPr>
    </w:p>
    <w:p w14:paraId="7C59760F" w14:textId="66C035B7" w:rsidR="004507EA" w:rsidRPr="004C52FE" w:rsidRDefault="004507EA" w:rsidP="004507EA">
      <w:pPr>
        <w:pStyle w:val="Prrafodelista"/>
        <w:numPr>
          <w:ilvl w:val="0"/>
          <w:numId w:val="5"/>
        </w:numPr>
        <w:ind w:left="284" w:hanging="218"/>
        <w:rPr>
          <w:rFonts w:ascii="Arial Narrow" w:hAnsi="Arial Narrow" w:cstheme="minorHAnsi"/>
          <w:b/>
        </w:rPr>
      </w:pPr>
      <w:r w:rsidRPr="004C52FE">
        <w:rPr>
          <w:rFonts w:ascii="Arial Narrow" w:hAnsi="Arial Narrow" w:cstheme="minorHAnsi"/>
          <w:b/>
        </w:rPr>
        <w:t>Avance del cumplimiento de los objetivos prioritarios</w:t>
      </w:r>
    </w:p>
    <w:p w14:paraId="6954B685" w14:textId="2E718070" w:rsidR="004507EA" w:rsidRPr="004C52FE" w:rsidRDefault="00882F42" w:rsidP="004507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color w:val="7030A0"/>
        </w:rPr>
      </w:pPr>
      <w:r w:rsidRPr="004C52FE">
        <w:rPr>
          <w:rFonts w:ascii="Arial Narrow" w:hAnsi="Arial Narrow"/>
          <w:b/>
          <w:bCs/>
        </w:rPr>
        <w:t>1</w:t>
      </w:r>
      <w:r w:rsidR="004507EA" w:rsidRPr="004C52FE">
        <w:rPr>
          <w:rFonts w:ascii="Arial Narrow" w:hAnsi="Arial Narrow"/>
          <w:b/>
          <w:bCs/>
        </w:rPr>
        <w:t xml:space="preserve">.1 </w:t>
      </w:r>
      <w:r w:rsidR="004F5A58" w:rsidRPr="004C52FE">
        <w:rPr>
          <w:rFonts w:ascii="Arial Narrow" w:hAnsi="Arial Narrow"/>
          <w:b/>
          <w:bCs/>
        </w:rPr>
        <w:t>Resultado</w:t>
      </w:r>
      <w:r w:rsidR="004507EA" w:rsidRPr="004C52FE">
        <w:rPr>
          <w:rFonts w:ascii="Arial Narrow" w:hAnsi="Arial Narrow"/>
          <w:b/>
          <w:bCs/>
        </w:rPr>
        <w:t xml:space="preserve"> general</w:t>
      </w:r>
    </w:p>
    <w:p w14:paraId="0C8BB4EA" w14:textId="77777777" w:rsidR="00147F6C" w:rsidRPr="00147F6C" w:rsidRDefault="00147F6C" w:rsidP="00BB3D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Arial Narrow" w:hAnsi="Arial Narrow"/>
          <w:sz w:val="4"/>
          <w:szCs w:val="4"/>
        </w:rPr>
      </w:pPr>
    </w:p>
    <w:p w14:paraId="61F04A6F" w14:textId="16C4324C" w:rsidR="00BB3D36" w:rsidRDefault="00BB3D36" w:rsidP="00147F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BB3D36">
        <w:rPr>
          <w:rFonts w:ascii="Arial Narrow" w:hAnsi="Arial Narrow"/>
        </w:rPr>
        <w:t>n el periodo 2019-2020</w:t>
      </w:r>
      <w:r w:rsidR="009C7366">
        <w:rPr>
          <w:rFonts w:ascii="Arial Narrow" w:hAnsi="Arial Narrow"/>
        </w:rPr>
        <w:t>, la pobreza extrema</w:t>
      </w:r>
      <w:r w:rsidRPr="00BB3D36">
        <w:rPr>
          <w:rFonts w:ascii="Arial Narrow" w:hAnsi="Arial Narrow"/>
        </w:rPr>
        <w:t xml:space="preserve"> se incrementó en 2.2 </w:t>
      </w:r>
      <w:r>
        <w:rPr>
          <w:rFonts w:ascii="Arial Narrow" w:hAnsi="Arial Narrow"/>
        </w:rPr>
        <w:t>puntos porcentuales (</w:t>
      </w:r>
      <w:proofErr w:type="spellStart"/>
      <w:r w:rsidRPr="00BB3D36">
        <w:rPr>
          <w:rFonts w:ascii="Arial Narrow" w:hAnsi="Arial Narrow"/>
        </w:rPr>
        <w:t>p.p</w:t>
      </w:r>
      <w:proofErr w:type="spellEnd"/>
      <w:r>
        <w:rPr>
          <w:rFonts w:ascii="Arial Narrow" w:hAnsi="Arial Narrow"/>
        </w:rPr>
        <w:t>)</w:t>
      </w:r>
      <w:r w:rsidRPr="00BB3D36">
        <w:rPr>
          <w:rFonts w:ascii="Arial Narrow" w:hAnsi="Arial Narrow"/>
        </w:rPr>
        <w:t>; es decir, ésta pasó de 2.9%</w:t>
      </w:r>
      <w:r>
        <w:rPr>
          <w:rFonts w:ascii="Arial Narrow" w:hAnsi="Arial Narrow"/>
        </w:rPr>
        <w:t xml:space="preserve"> </w:t>
      </w:r>
      <w:r w:rsidR="009C7366">
        <w:rPr>
          <w:rFonts w:ascii="Arial Narrow" w:hAnsi="Arial Narrow"/>
        </w:rPr>
        <w:t xml:space="preserve">en el año 2019 </w:t>
      </w:r>
      <w:r w:rsidRPr="00BB3D36">
        <w:rPr>
          <w:rFonts w:ascii="Arial Narrow" w:hAnsi="Arial Narrow"/>
        </w:rPr>
        <w:t xml:space="preserve">a 5.1% </w:t>
      </w:r>
      <w:r w:rsidR="009C7366">
        <w:rPr>
          <w:rFonts w:ascii="Arial Narrow" w:hAnsi="Arial Narrow"/>
        </w:rPr>
        <w:t xml:space="preserve">en el año 2020 </w:t>
      </w:r>
      <w:r w:rsidRPr="00BB3D36">
        <w:rPr>
          <w:rFonts w:ascii="Arial Narrow" w:hAnsi="Arial Narrow"/>
        </w:rPr>
        <w:t>a nivel naciona</w:t>
      </w:r>
      <w:r w:rsidR="002067A2">
        <w:rPr>
          <w:rFonts w:ascii="Arial Narrow" w:hAnsi="Arial Narrow"/>
        </w:rPr>
        <w:t>l</w:t>
      </w:r>
      <w:r w:rsidR="00F44C91">
        <w:rPr>
          <w:rStyle w:val="Refdenotaalpie"/>
          <w:rFonts w:ascii="Arial Narrow" w:hAnsi="Arial Narrow"/>
        </w:rPr>
        <w:footnoteReference w:id="2"/>
      </w:r>
      <w:r w:rsidRPr="00BB3D36">
        <w:rPr>
          <w:rFonts w:ascii="Arial Narrow" w:hAnsi="Arial Narrow"/>
        </w:rPr>
        <w:t>.</w:t>
      </w:r>
    </w:p>
    <w:p w14:paraId="70144866" w14:textId="77777777" w:rsidR="00F91C81" w:rsidRPr="00F91C81" w:rsidRDefault="00F91C81" w:rsidP="00147F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1633F7E8" w14:textId="6A3E4B12" w:rsidR="004507EA" w:rsidRDefault="009C7366" w:rsidP="00147F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color w:val="4472C4" w:themeColor="accent1"/>
        </w:rPr>
      </w:pPr>
      <w:r>
        <w:rPr>
          <w:rFonts w:ascii="Arial Narrow" w:hAnsi="Arial Narrow"/>
        </w:rPr>
        <w:t>S</w:t>
      </w:r>
      <w:r w:rsidRPr="009C7366">
        <w:rPr>
          <w:rFonts w:ascii="Arial Narrow" w:hAnsi="Arial Narrow"/>
        </w:rPr>
        <w:t xml:space="preserve">egún </w:t>
      </w:r>
      <w:r>
        <w:rPr>
          <w:rFonts w:ascii="Arial Narrow" w:hAnsi="Arial Narrow"/>
        </w:rPr>
        <w:t xml:space="preserve">el </w:t>
      </w:r>
      <w:r w:rsidRPr="009C7366">
        <w:rPr>
          <w:rFonts w:ascii="Arial Narrow" w:hAnsi="Arial Narrow"/>
        </w:rPr>
        <w:t>área de residencia</w:t>
      </w:r>
      <w:r>
        <w:rPr>
          <w:rFonts w:ascii="Arial Narrow" w:hAnsi="Arial Narrow"/>
        </w:rPr>
        <w:t>, la pobreza extrema afectó al 13.</w:t>
      </w:r>
      <w:r w:rsidRPr="009C7366">
        <w:rPr>
          <w:rFonts w:ascii="Arial Narrow" w:hAnsi="Arial Narrow"/>
        </w:rPr>
        <w:t>7% de la población</w:t>
      </w:r>
      <w:r>
        <w:rPr>
          <w:rFonts w:ascii="Arial Narrow" w:hAnsi="Arial Narrow"/>
        </w:rPr>
        <w:t xml:space="preserve"> del área rural y al </w:t>
      </w:r>
      <w:r w:rsidRPr="009C7366">
        <w:rPr>
          <w:rFonts w:ascii="Arial Narrow" w:hAnsi="Arial Narrow"/>
        </w:rPr>
        <w:t>2</w:t>
      </w:r>
      <w:r>
        <w:rPr>
          <w:rFonts w:ascii="Arial Narrow" w:hAnsi="Arial Narrow"/>
        </w:rPr>
        <w:t>.</w:t>
      </w:r>
      <w:r w:rsidRPr="009C7366">
        <w:rPr>
          <w:rFonts w:ascii="Arial Narrow" w:hAnsi="Arial Narrow"/>
        </w:rPr>
        <w:t>9%</w:t>
      </w:r>
      <w:r>
        <w:rPr>
          <w:rFonts w:ascii="Arial Narrow" w:hAnsi="Arial Narrow"/>
        </w:rPr>
        <w:t xml:space="preserve"> </w:t>
      </w:r>
      <w:r w:rsidRPr="009C7366">
        <w:rPr>
          <w:rFonts w:ascii="Arial Narrow" w:hAnsi="Arial Narrow"/>
        </w:rPr>
        <w:t xml:space="preserve">en el área urbana </w:t>
      </w:r>
      <w:r>
        <w:rPr>
          <w:rFonts w:ascii="Arial Narrow" w:hAnsi="Arial Narrow"/>
        </w:rPr>
        <w:t>en el año 2020</w:t>
      </w:r>
      <w:r w:rsidRPr="009C736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En comparación con el año 2019, </w:t>
      </w:r>
      <w:r w:rsidRPr="009C7366">
        <w:rPr>
          <w:rFonts w:ascii="Arial Narrow" w:hAnsi="Arial Narrow"/>
        </w:rPr>
        <w:t>la pobreza extre</w:t>
      </w:r>
      <w:r>
        <w:rPr>
          <w:rFonts w:ascii="Arial Narrow" w:hAnsi="Arial Narrow"/>
        </w:rPr>
        <w:t>ma creció en el área rural en 3.</w:t>
      </w:r>
      <w:r w:rsidRPr="009C7366">
        <w:rPr>
          <w:rFonts w:ascii="Arial Narrow" w:hAnsi="Arial Narrow"/>
        </w:rPr>
        <w:t xml:space="preserve">9 </w:t>
      </w:r>
      <w:r>
        <w:rPr>
          <w:rFonts w:ascii="Arial Narrow" w:hAnsi="Arial Narrow"/>
        </w:rPr>
        <w:t xml:space="preserve">p.p., pasando de 9.8% a 13.7%; y en el área urbana </w:t>
      </w:r>
      <w:r w:rsidR="00147F6C">
        <w:rPr>
          <w:rFonts w:ascii="Arial Narrow" w:hAnsi="Arial Narrow"/>
        </w:rPr>
        <w:t>se incrementó</w:t>
      </w:r>
      <w:r>
        <w:rPr>
          <w:rFonts w:ascii="Arial Narrow" w:hAnsi="Arial Narrow"/>
        </w:rPr>
        <w:t xml:space="preserve"> 1.</w:t>
      </w:r>
      <w:r w:rsidRPr="009C7366">
        <w:rPr>
          <w:rFonts w:ascii="Arial Narrow" w:hAnsi="Arial Narrow"/>
        </w:rPr>
        <w:t xml:space="preserve">9 </w:t>
      </w:r>
      <w:r w:rsidR="00147F6C">
        <w:rPr>
          <w:rFonts w:ascii="Arial Narrow" w:hAnsi="Arial Narrow"/>
        </w:rPr>
        <w:t>p.p.</w:t>
      </w:r>
      <w:r>
        <w:rPr>
          <w:rFonts w:ascii="Arial Narrow" w:hAnsi="Arial Narrow"/>
        </w:rPr>
        <w:t>, pasando de 1.0% a 2.9%</w:t>
      </w:r>
      <w:r w:rsidR="002067A2">
        <w:rPr>
          <w:rStyle w:val="Refdenotaalpie"/>
          <w:rFonts w:ascii="Arial Narrow" w:hAnsi="Arial Narrow"/>
        </w:rPr>
        <w:footnoteReference w:id="3"/>
      </w:r>
      <w:r>
        <w:rPr>
          <w:rFonts w:ascii="Arial Narrow" w:hAnsi="Arial Narrow"/>
        </w:rPr>
        <w:t>.</w:t>
      </w:r>
      <w:r w:rsidR="004507EA" w:rsidRPr="004C52FE">
        <w:rPr>
          <w:rFonts w:ascii="Arial Narrow" w:hAnsi="Arial Narrow"/>
          <w:color w:val="4472C4" w:themeColor="accent1"/>
        </w:rPr>
        <w:t xml:space="preserve"> </w:t>
      </w:r>
    </w:p>
    <w:p w14:paraId="30717FD1" w14:textId="77777777" w:rsidR="00147F6C" w:rsidRPr="00147F6C" w:rsidRDefault="00147F6C" w:rsidP="00147F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Arial Narrow" w:hAnsi="Arial Narrow"/>
          <w:sz w:val="4"/>
          <w:szCs w:val="4"/>
        </w:rPr>
      </w:pPr>
    </w:p>
    <w:p w14:paraId="20368878" w14:textId="64892111" w:rsidR="004507EA" w:rsidRPr="004C52FE" w:rsidRDefault="00882F42" w:rsidP="004507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 w:rsidRPr="004C52FE">
        <w:rPr>
          <w:rFonts w:ascii="Arial Narrow" w:hAnsi="Arial Narrow"/>
          <w:b/>
          <w:bCs/>
        </w:rPr>
        <w:t>1</w:t>
      </w:r>
      <w:r w:rsidR="004507EA" w:rsidRPr="004C52FE">
        <w:rPr>
          <w:rFonts w:ascii="Arial Narrow" w:hAnsi="Arial Narrow"/>
          <w:b/>
          <w:bCs/>
        </w:rPr>
        <w:t xml:space="preserve">.2 </w:t>
      </w:r>
      <w:r w:rsidR="004F5A58" w:rsidRPr="004C52FE">
        <w:rPr>
          <w:rFonts w:ascii="Arial Narrow" w:hAnsi="Arial Narrow"/>
          <w:b/>
          <w:bCs/>
        </w:rPr>
        <w:t>Resultado</w:t>
      </w:r>
      <w:r w:rsidR="004507EA" w:rsidRPr="004C52FE">
        <w:rPr>
          <w:rFonts w:ascii="Arial Narrow" w:hAnsi="Arial Narrow"/>
          <w:b/>
          <w:bCs/>
        </w:rPr>
        <w:t xml:space="preserve"> de cada objetivo</w:t>
      </w:r>
    </w:p>
    <w:p w14:paraId="0E989E53" w14:textId="77777777" w:rsidR="00147F6C" w:rsidRPr="00147F6C" w:rsidRDefault="00147F6C" w:rsidP="00147F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Arial Narrow" w:hAnsi="Arial Narrow"/>
          <w:sz w:val="4"/>
          <w:szCs w:val="4"/>
        </w:rPr>
      </w:pPr>
    </w:p>
    <w:p w14:paraId="6DF6514C" w14:textId="1A26290D" w:rsidR="00EF7C04" w:rsidRPr="004C52FE" w:rsidRDefault="00882F42" w:rsidP="00147F6C">
      <w:pPr>
        <w:ind w:left="284"/>
        <w:rPr>
          <w:rFonts w:ascii="Arial Narrow" w:hAnsi="Arial Narrow" w:cstheme="minorHAnsi"/>
          <w:b/>
        </w:rPr>
      </w:pPr>
      <w:r w:rsidRPr="004C52FE">
        <w:rPr>
          <w:rFonts w:ascii="Arial Narrow" w:hAnsi="Arial Narrow" w:cstheme="minorHAnsi"/>
          <w:b/>
        </w:rPr>
        <w:t xml:space="preserve">OP.01. </w:t>
      </w:r>
      <w:r w:rsidR="00717017" w:rsidRPr="00717017">
        <w:rPr>
          <w:rFonts w:ascii="Arial Narrow" w:hAnsi="Arial Narrow" w:cstheme="minorHAnsi"/>
          <w:b/>
        </w:rPr>
        <w:t>Reducir la prevalencia de la Desnutrición Crónica Infantil en niñas y niños menores de 3 años</w:t>
      </w:r>
      <w:r w:rsidR="00EF7C04">
        <w:rPr>
          <w:rFonts w:ascii="Arial Narrow" w:hAnsi="Arial Narrow" w:cstheme="minorHAnsi"/>
          <w:b/>
        </w:rPr>
        <w:t xml:space="preserve"> y </w:t>
      </w:r>
      <w:r w:rsidR="00EF7C04" w:rsidRPr="004C52FE">
        <w:rPr>
          <w:rFonts w:ascii="Arial Narrow" w:hAnsi="Arial Narrow" w:cstheme="minorHAnsi"/>
          <w:b/>
        </w:rPr>
        <w:t xml:space="preserve">OP.02. </w:t>
      </w:r>
      <w:r w:rsidR="00EF7C04" w:rsidRPr="00EF7C04">
        <w:rPr>
          <w:rFonts w:ascii="Arial Narrow" w:hAnsi="Arial Narrow" w:cstheme="minorHAnsi"/>
          <w:b/>
        </w:rPr>
        <w:t>Incrementar los niveles de desarrollo físico, cognitivo, motor, emocional y social</w:t>
      </w:r>
      <w:r w:rsidR="00133647">
        <w:rPr>
          <w:rFonts w:ascii="Arial Narrow" w:hAnsi="Arial Narrow" w:cstheme="minorHAnsi"/>
          <w:b/>
        </w:rPr>
        <w:t xml:space="preserve"> </w:t>
      </w:r>
      <w:r w:rsidR="00EF7C04" w:rsidRPr="00EF7C04">
        <w:rPr>
          <w:rFonts w:ascii="Arial Narrow" w:hAnsi="Arial Narrow" w:cstheme="minorHAnsi"/>
          <w:b/>
        </w:rPr>
        <w:t>de los niñas y niños entre 0 y 5 años</w:t>
      </w:r>
      <w:r w:rsidR="00EF7C04">
        <w:rPr>
          <w:rFonts w:ascii="Arial Narrow" w:hAnsi="Arial Narrow" w:cstheme="minorHAnsi"/>
          <w:b/>
        </w:rPr>
        <w:t>.</w:t>
      </w:r>
    </w:p>
    <w:p w14:paraId="6F9265BC" w14:textId="77777777" w:rsidR="006D144B" w:rsidRPr="006D144B" w:rsidRDefault="006D144B" w:rsidP="006D14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 Narrow" w:hAnsi="Arial Narrow"/>
          <w:sz w:val="2"/>
          <w:szCs w:val="2"/>
        </w:rPr>
      </w:pPr>
      <w:bookmarkStart w:id="1" w:name="_Hlk72764514"/>
    </w:p>
    <w:p w14:paraId="5D320C56" w14:textId="0D7F815C" w:rsidR="005733D6" w:rsidRPr="006D144B" w:rsidRDefault="005733D6" w:rsidP="006D14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 w:rsidRPr="006D144B">
        <w:rPr>
          <w:rFonts w:ascii="Arial Narrow" w:hAnsi="Arial Narrow"/>
        </w:rPr>
        <w:t>Con Resolución Suprema N° 023-2019-EF, se aprobó el Programa Presupuestal orientado a Resultados de Desarrollo Infantil Temprano (</w:t>
      </w:r>
      <w:proofErr w:type="spellStart"/>
      <w:r w:rsidRPr="006D144B">
        <w:rPr>
          <w:rFonts w:ascii="Arial Narrow" w:hAnsi="Arial Narrow"/>
        </w:rPr>
        <w:t>PPoR</w:t>
      </w:r>
      <w:proofErr w:type="spellEnd"/>
      <w:r w:rsidRPr="006D144B">
        <w:rPr>
          <w:rFonts w:ascii="Arial Narrow" w:hAnsi="Arial Narrow"/>
        </w:rPr>
        <w:t xml:space="preserve"> DIT) y se dispuso que la titular del Ministerio de Desarrollo e Inclusión Social (MIDIS), o el funcionario que ésta delegue, es el responsable del </w:t>
      </w:r>
      <w:proofErr w:type="spellStart"/>
      <w:r w:rsidRPr="006D144B">
        <w:rPr>
          <w:rFonts w:ascii="Arial Narrow" w:hAnsi="Arial Narrow"/>
        </w:rPr>
        <w:t>PPoR</w:t>
      </w:r>
      <w:proofErr w:type="spellEnd"/>
      <w:r w:rsidRPr="006D144B">
        <w:rPr>
          <w:rFonts w:ascii="Arial Narrow" w:hAnsi="Arial Narrow"/>
        </w:rPr>
        <w:t>.</w:t>
      </w:r>
    </w:p>
    <w:p w14:paraId="7F0478C1" w14:textId="77777777" w:rsidR="006D144B" w:rsidRPr="006D144B" w:rsidRDefault="006D144B" w:rsidP="008B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color w:val="0000FF"/>
          <w:sz w:val="2"/>
          <w:szCs w:val="2"/>
        </w:rPr>
      </w:pPr>
    </w:p>
    <w:p w14:paraId="53E41910" w14:textId="7A399AEF" w:rsidR="00647E3B" w:rsidRPr="006D144B" w:rsidRDefault="005733D6" w:rsidP="008B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 w:rsidRPr="006D144B">
        <w:rPr>
          <w:rFonts w:ascii="Arial Narrow" w:hAnsi="Arial Narrow"/>
        </w:rPr>
        <w:t xml:space="preserve">El nacimiento saludable se mide en función a dos indicadores: </w:t>
      </w:r>
      <w:r w:rsidR="006D144B">
        <w:rPr>
          <w:rFonts w:ascii="Arial Narrow" w:hAnsi="Arial Narrow"/>
        </w:rPr>
        <w:t>B</w:t>
      </w:r>
      <w:r w:rsidRPr="006D144B">
        <w:rPr>
          <w:rFonts w:ascii="Arial Narrow" w:hAnsi="Arial Narrow"/>
        </w:rPr>
        <w:t xml:space="preserve">ajo peso al nacer (peso menor a 2 500 gramos) y prematuridad (nacimiento antes de las 37 semanas). El primer indicador muestra que, </w:t>
      </w:r>
      <w:r w:rsidR="00647E3B" w:rsidRPr="006D144B">
        <w:rPr>
          <w:rFonts w:ascii="Arial Narrow" w:hAnsi="Arial Narrow"/>
        </w:rPr>
        <w:t xml:space="preserve">para el </w:t>
      </w:r>
      <w:r w:rsidR="006D144B" w:rsidRPr="006D144B">
        <w:rPr>
          <w:rFonts w:ascii="Arial Narrow" w:hAnsi="Arial Narrow"/>
        </w:rPr>
        <w:t xml:space="preserve">año </w:t>
      </w:r>
      <w:r w:rsidR="00647E3B" w:rsidRPr="006D144B">
        <w:rPr>
          <w:rFonts w:ascii="Arial Narrow" w:hAnsi="Arial Narrow"/>
        </w:rPr>
        <w:t xml:space="preserve">2020, </w:t>
      </w:r>
      <w:r w:rsidRPr="006D144B">
        <w:rPr>
          <w:rFonts w:ascii="Arial Narrow" w:hAnsi="Arial Narrow"/>
        </w:rPr>
        <w:t>el</w:t>
      </w:r>
      <w:r w:rsidR="006D144B" w:rsidRPr="006D144B">
        <w:rPr>
          <w:rFonts w:ascii="Arial Narrow" w:hAnsi="Arial Narrow"/>
        </w:rPr>
        <w:t xml:space="preserve"> 6.</w:t>
      </w:r>
      <w:r w:rsidR="00647E3B" w:rsidRPr="006D144B">
        <w:rPr>
          <w:rFonts w:ascii="Arial Narrow" w:hAnsi="Arial Narrow"/>
        </w:rPr>
        <w:t>6</w:t>
      </w:r>
      <w:r w:rsidR="00973386" w:rsidRPr="006D144B">
        <w:rPr>
          <w:rFonts w:ascii="Arial Narrow" w:hAnsi="Arial Narrow"/>
        </w:rPr>
        <w:t>%</w:t>
      </w:r>
      <w:r w:rsidRPr="006D144B">
        <w:rPr>
          <w:rFonts w:ascii="Arial Narrow" w:hAnsi="Arial Narrow"/>
        </w:rPr>
        <w:t xml:space="preserve"> </w:t>
      </w:r>
      <w:r w:rsidR="00647E3B" w:rsidRPr="006D144B">
        <w:rPr>
          <w:rFonts w:ascii="Arial Narrow" w:hAnsi="Arial Narrow"/>
        </w:rPr>
        <w:t>de nacidos vivos tuvieron bajo peso al nacer, esto es, se redujo e</w:t>
      </w:r>
      <w:r w:rsidR="006D144B" w:rsidRPr="006D144B">
        <w:rPr>
          <w:rFonts w:ascii="Arial Narrow" w:hAnsi="Arial Narrow"/>
        </w:rPr>
        <w:t>l valor respecto al año 2019 (7.</w:t>
      </w:r>
      <w:r w:rsidR="00647E3B" w:rsidRPr="006D144B">
        <w:rPr>
          <w:rFonts w:ascii="Arial Narrow" w:hAnsi="Arial Narrow"/>
        </w:rPr>
        <w:t xml:space="preserve">3%); mientras que el porcentaje de recién nacidos antes de las 37 semanas de gestación fue de </w:t>
      </w:r>
      <w:r w:rsidR="00973386" w:rsidRPr="006D144B">
        <w:rPr>
          <w:rFonts w:ascii="Arial Narrow" w:hAnsi="Arial Narrow"/>
        </w:rPr>
        <w:t>23</w:t>
      </w:r>
      <w:r w:rsidR="006D144B" w:rsidRPr="006D144B">
        <w:rPr>
          <w:rFonts w:ascii="Arial Narrow" w:hAnsi="Arial Narrow"/>
        </w:rPr>
        <w:t>.</w:t>
      </w:r>
      <w:r w:rsidR="00973386" w:rsidRPr="006D144B">
        <w:rPr>
          <w:rFonts w:ascii="Arial Narrow" w:hAnsi="Arial Narrow"/>
        </w:rPr>
        <w:t>1</w:t>
      </w:r>
      <w:r w:rsidR="00683526" w:rsidRPr="006D144B">
        <w:rPr>
          <w:rFonts w:ascii="Arial Narrow" w:hAnsi="Arial Narrow"/>
        </w:rPr>
        <w:t>%</w:t>
      </w:r>
      <w:r w:rsidR="00973386" w:rsidRPr="006D144B">
        <w:rPr>
          <w:rFonts w:ascii="Arial Narrow" w:hAnsi="Arial Narrow"/>
        </w:rPr>
        <w:t xml:space="preserve"> para el año 2020, este valor se incrementó </w:t>
      </w:r>
      <w:r w:rsidR="00683526" w:rsidRPr="006D144B">
        <w:rPr>
          <w:rFonts w:ascii="Arial Narrow" w:hAnsi="Arial Narrow"/>
        </w:rPr>
        <w:t xml:space="preserve">respecto al </w:t>
      </w:r>
      <w:r w:rsidR="006D144B" w:rsidRPr="006D144B">
        <w:rPr>
          <w:rFonts w:ascii="Arial Narrow" w:hAnsi="Arial Narrow"/>
        </w:rPr>
        <w:t>reportado para el año 2019 (22.</w:t>
      </w:r>
      <w:r w:rsidR="00973386" w:rsidRPr="006D144B">
        <w:rPr>
          <w:rFonts w:ascii="Arial Narrow" w:hAnsi="Arial Narrow"/>
        </w:rPr>
        <w:t>3</w:t>
      </w:r>
      <w:r w:rsidR="00683526" w:rsidRPr="006D144B">
        <w:rPr>
          <w:rFonts w:ascii="Arial Narrow" w:hAnsi="Arial Narrow"/>
        </w:rPr>
        <w:t>%</w:t>
      </w:r>
      <w:r w:rsidR="00973386" w:rsidRPr="006D144B">
        <w:rPr>
          <w:rFonts w:ascii="Arial Narrow" w:hAnsi="Arial Narrow"/>
        </w:rPr>
        <w:t>)</w:t>
      </w:r>
      <w:r w:rsidR="002067A2">
        <w:rPr>
          <w:rStyle w:val="Refdenotaalpie"/>
          <w:rFonts w:ascii="Arial Narrow" w:hAnsi="Arial Narrow"/>
        </w:rPr>
        <w:footnoteReference w:id="4"/>
      </w:r>
      <w:r w:rsidR="00973386" w:rsidRPr="006D144B">
        <w:rPr>
          <w:rFonts w:ascii="Arial Narrow" w:hAnsi="Arial Narrow"/>
        </w:rPr>
        <w:t>.</w:t>
      </w:r>
    </w:p>
    <w:p w14:paraId="21404FF1" w14:textId="77777777" w:rsidR="006D144B" w:rsidRPr="006D144B" w:rsidRDefault="006D144B" w:rsidP="008B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color w:val="0000FF"/>
          <w:sz w:val="2"/>
          <w:szCs w:val="2"/>
        </w:rPr>
      </w:pPr>
    </w:p>
    <w:p w14:paraId="61192674" w14:textId="10A5DBC3" w:rsidR="00683526" w:rsidRDefault="00F1240F" w:rsidP="008B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 w:rsidRPr="006D144B">
        <w:rPr>
          <w:rFonts w:ascii="Arial Narrow" w:hAnsi="Arial Narrow"/>
        </w:rPr>
        <w:t>El estado nutricional se m</w:t>
      </w:r>
      <w:r w:rsidR="006D144B" w:rsidRPr="006D144B">
        <w:rPr>
          <w:rFonts w:ascii="Arial Narrow" w:hAnsi="Arial Narrow"/>
        </w:rPr>
        <w:t>ide en base a dos indicadores: D</w:t>
      </w:r>
      <w:r w:rsidRPr="006D144B">
        <w:rPr>
          <w:rFonts w:ascii="Arial Narrow" w:hAnsi="Arial Narrow"/>
        </w:rPr>
        <w:t>esnutrición crónica infantil en menores de 5 años</w:t>
      </w:r>
      <w:r w:rsidR="006D144B">
        <w:rPr>
          <w:rFonts w:ascii="Arial Narrow" w:hAnsi="Arial Narrow"/>
        </w:rPr>
        <w:t xml:space="preserve"> de edad, que pasó de 12.2% en el 2019 a 12.</w:t>
      </w:r>
      <w:r w:rsidRPr="006D144B">
        <w:rPr>
          <w:rFonts w:ascii="Arial Narrow" w:hAnsi="Arial Narrow"/>
        </w:rPr>
        <w:t>1% en</w:t>
      </w:r>
      <w:r w:rsidR="00F86F98" w:rsidRPr="006D144B">
        <w:rPr>
          <w:rFonts w:ascii="Arial Narrow" w:hAnsi="Arial Narrow"/>
        </w:rPr>
        <w:t xml:space="preserve"> el</w:t>
      </w:r>
      <w:r w:rsidRPr="006D144B">
        <w:rPr>
          <w:rFonts w:ascii="Arial Narrow" w:hAnsi="Arial Narrow"/>
        </w:rPr>
        <w:t xml:space="preserve"> 2020; y niñas/os de 6 a 3</w:t>
      </w:r>
      <w:r w:rsidR="00F86F98" w:rsidRPr="006D144B">
        <w:rPr>
          <w:rFonts w:ascii="Arial Narrow" w:hAnsi="Arial Narrow"/>
        </w:rPr>
        <w:t xml:space="preserve">5 meses de edad con anemia, cuyo valor fue de 40.0% para el 2020 </w:t>
      </w:r>
      <w:r w:rsidR="006D144B">
        <w:rPr>
          <w:rFonts w:ascii="Arial Narrow" w:hAnsi="Arial Narrow"/>
        </w:rPr>
        <w:t>(41.</w:t>
      </w:r>
      <w:r w:rsidR="00F86F98" w:rsidRPr="006D144B">
        <w:rPr>
          <w:rFonts w:ascii="Arial Narrow" w:hAnsi="Arial Narrow"/>
        </w:rPr>
        <w:t>1% en 2019</w:t>
      </w:r>
      <w:r w:rsidRPr="006D144B">
        <w:rPr>
          <w:rFonts w:ascii="Arial Narrow" w:hAnsi="Arial Narrow"/>
        </w:rPr>
        <w:t>)</w:t>
      </w:r>
      <w:r w:rsidR="002067A2">
        <w:rPr>
          <w:rStyle w:val="Refdenotaalpie"/>
          <w:rFonts w:ascii="Arial Narrow" w:hAnsi="Arial Narrow"/>
        </w:rPr>
        <w:footnoteReference w:id="5"/>
      </w:r>
      <w:r w:rsidR="00F86F98" w:rsidRPr="006D144B">
        <w:rPr>
          <w:rFonts w:ascii="Arial Narrow" w:hAnsi="Arial Narrow"/>
        </w:rPr>
        <w:t>.</w:t>
      </w:r>
    </w:p>
    <w:p w14:paraId="4704F8CE" w14:textId="77777777" w:rsidR="006D144B" w:rsidRPr="006D144B" w:rsidRDefault="006D144B" w:rsidP="008B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4D3BD189" w14:textId="35DFA701" w:rsidR="005733D6" w:rsidRPr="006D144B" w:rsidRDefault="005733D6" w:rsidP="008B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 w:rsidRPr="006D144B">
        <w:rPr>
          <w:rFonts w:ascii="Arial Narrow" w:hAnsi="Arial Narrow"/>
        </w:rPr>
        <w:t xml:space="preserve">Por otro lado, el porcentaje de niñas/os entre 9 y 12 meses de edad que tiene una adecuada interacción madre e hija/o como precursora </w:t>
      </w:r>
      <w:r w:rsidR="00683526" w:rsidRPr="006D144B">
        <w:rPr>
          <w:rFonts w:ascii="Arial Narrow" w:hAnsi="Arial Narrow"/>
        </w:rPr>
        <w:t xml:space="preserve">del apego seguro, </w:t>
      </w:r>
      <w:r w:rsidR="00F1240F" w:rsidRPr="006D144B">
        <w:rPr>
          <w:rFonts w:ascii="Arial Narrow" w:hAnsi="Arial Narrow"/>
        </w:rPr>
        <w:t>alcanzó el</w:t>
      </w:r>
      <w:r w:rsidR="00683526" w:rsidRPr="006D144B">
        <w:rPr>
          <w:rFonts w:ascii="Arial Narrow" w:hAnsi="Arial Narrow"/>
        </w:rPr>
        <w:t xml:space="preserve"> 41</w:t>
      </w:r>
      <w:r w:rsidR="006D144B" w:rsidRPr="006D144B">
        <w:rPr>
          <w:rFonts w:ascii="Arial Narrow" w:hAnsi="Arial Narrow"/>
        </w:rPr>
        <w:t>.</w:t>
      </w:r>
      <w:r w:rsidR="00683526" w:rsidRPr="006D144B">
        <w:rPr>
          <w:rFonts w:ascii="Arial Narrow" w:hAnsi="Arial Narrow"/>
        </w:rPr>
        <w:t>1</w:t>
      </w:r>
      <w:r w:rsidRPr="006D144B">
        <w:rPr>
          <w:rFonts w:ascii="Arial Narrow" w:hAnsi="Arial Narrow"/>
        </w:rPr>
        <w:t>%</w:t>
      </w:r>
      <w:r w:rsidR="00683526" w:rsidRPr="006D144B">
        <w:rPr>
          <w:rFonts w:ascii="Arial Narrow" w:hAnsi="Arial Narrow"/>
        </w:rPr>
        <w:t xml:space="preserve"> para</w:t>
      </w:r>
      <w:r w:rsidR="006D144B" w:rsidRPr="006D144B">
        <w:rPr>
          <w:rFonts w:ascii="Arial Narrow" w:hAnsi="Arial Narrow"/>
        </w:rPr>
        <w:t xml:space="preserve"> el año 2020, reduciéndose en 4.</w:t>
      </w:r>
      <w:r w:rsidR="00683526" w:rsidRPr="006D144B">
        <w:rPr>
          <w:rFonts w:ascii="Arial Narrow" w:hAnsi="Arial Narrow"/>
        </w:rPr>
        <w:t xml:space="preserve">9 </w:t>
      </w:r>
      <w:r w:rsidR="005B675B" w:rsidRPr="006D144B">
        <w:rPr>
          <w:rFonts w:ascii="Arial Narrow" w:hAnsi="Arial Narrow"/>
        </w:rPr>
        <w:t>p.p.</w:t>
      </w:r>
      <w:r w:rsidR="00683526" w:rsidRPr="006D144B">
        <w:rPr>
          <w:rFonts w:ascii="Arial Narrow" w:hAnsi="Arial Narrow"/>
        </w:rPr>
        <w:t>, respecto al valor del 2019 (46.0%)</w:t>
      </w:r>
      <w:r w:rsidRPr="006D144B">
        <w:rPr>
          <w:rFonts w:ascii="Arial Narrow" w:hAnsi="Arial Narrow"/>
        </w:rPr>
        <w:t>. De otro lado,</w:t>
      </w:r>
      <w:r w:rsidR="00F86F98" w:rsidRPr="006D144B">
        <w:rPr>
          <w:rFonts w:ascii="Arial Narrow" w:hAnsi="Arial Narrow"/>
        </w:rPr>
        <w:t xml:space="preserve"> para el año 2020,</w:t>
      </w:r>
      <w:r w:rsidRPr="006D144B">
        <w:rPr>
          <w:rFonts w:ascii="Arial Narrow" w:hAnsi="Arial Narrow"/>
        </w:rPr>
        <w:t xml:space="preserve"> el 4</w:t>
      </w:r>
      <w:r w:rsidR="00F86F98" w:rsidRPr="006D144B">
        <w:rPr>
          <w:rFonts w:ascii="Arial Narrow" w:hAnsi="Arial Narrow"/>
        </w:rPr>
        <w:t>9</w:t>
      </w:r>
      <w:r w:rsidR="006D144B" w:rsidRPr="006D144B">
        <w:rPr>
          <w:rFonts w:ascii="Arial Narrow" w:hAnsi="Arial Narrow"/>
        </w:rPr>
        <w:t>.</w:t>
      </w:r>
      <w:r w:rsidR="00F86F98" w:rsidRPr="006D144B">
        <w:rPr>
          <w:rFonts w:ascii="Arial Narrow" w:hAnsi="Arial Narrow"/>
        </w:rPr>
        <w:t>0</w:t>
      </w:r>
      <w:r w:rsidRPr="006D144B">
        <w:rPr>
          <w:rFonts w:ascii="Arial Narrow" w:hAnsi="Arial Narrow"/>
        </w:rPr>
        <w:t>% de ni</w:t>
      </w:r>
      <w:r w:rsidR="006D144B" w:rsidRPr="006D144B">
        <w:rPr>
          <w:rFonts w:ascii="Arial Narrow" w:hAnsi="Arial Narrow"/>
        </w:rPr>
        <w:t xml:space="preserve">ñas/os de 9 a 36 meses de edad </w:t>
      </w:r>
      <w:r w:rsidRPr="006D144B">
        <w:rPr>
          <w:rFonts w:ascii="Arial Narrow" w:hAnsi="Arial Narrow"/>
        </w:rPr>
        <w:t>tiene una comunicación verbal efectiva a nivel comprensivo y expresivo</w:t>
      </w:r>
      <w:r w:rsidR="008E61DA" w:rsidRPr="006D144B">
        <w:rPr>
          <w:rFonts w:ascii="Arial Narrow" w:hAnsi="Arial Narrow"/>
        </w:rPr>
        <w:t xml:space="preserve"> apropiada para su edad, y el 72</w:t>
      </w:r>
      <w:r w:rsidR="006D144B" w:rsidRPr="006D144B">
        <w:rPr>
          <w:rFonts w:ascii="Arial Narrow" w:hAnsi="Arial Narrow"/>
        </w:rPr>
        <w:t>.</w:t>
      </w:r>
      <w:r w:rsidRPr="006D144B">
        <w:rPr>
          <w:rFonts w:ascii="Arial Narrow" w:hAnsi="Arial Narrow"/>
        </w:rPr>
        <w:t xml:space="preserve">3% de las niñas/os de 12 a 18 meses de edad caminan por propia iniciativa sin </w:t>
      </w:r>
      <w:r w:rsidRPr="006D144B">
        <w:rPr>
          <w:rFonts w:ascii="Arial Narrow" w:hAnsi="Arial Narrow"/>
        </w:rPr>
        <w:lastRenderedPageBreak/>
        <w:t xml:space="preserve">necesidad de detenerse para lograr el equilibrio. Asimismo, el </w:t>
      </w:r>
      <w:r w:rsidR="006D144B" w:rsidRPr="006D144B">
        <w:rPr>
          <w:rFonts w:ascii="Arial Narrow" w:hAnsi="Arial Narrow"/>
        </w:rPr>
        <w:t>32.</w:t>
      </w:r>
      <w:r w:rsidR="008E61DA" w:rsidRPr="006D144B">
        <w:rPr>
          <w:rFonts w:ascii="Arial Narrow" w:hAnsi="Arial Narrow"/>
        </w:rPr>
        <w:t>7</w:t>
      </w:r>
      <w:r w:rsidRPr="006D144B">
        <w:rPr>
          <w:rFonts w:ascii="Arial Narrow" w:hAnsi="Arial Narrow"/>
        </w:rPr>
        <w:t xml:space="preserve">% de niñas/os de 24 a 71 meses </w:t>
      </w:r>
      <w:r w:rsidR="006D144B" w:rsidRPr="006D144B">
        <w:rPr>
          <w:rFonts w:ascii="Arial Narrow" w:hAnsi="Arial Narrow"/>
        </w:rPr>
        <w:t>de edad</w:t>
      </w:r>
      <w:r w:rsidRPr="006D144B">
        <w:rPr>
          <w:rFonts w:ascii="Arial Narrow" w:hAnsi="Arial Narrow"/>
        </w:rPr>
        <w:t xml:space="preserve"> regulan sus emociones y comportamientos en situaciones de frustración y estableci</w:t>
      </w:r>
      <w:r w:rsidR="006D144B" w:rsidRPr="006D144B">
        <w:rPr>
          <w:rFonts w:ascii="Arial Narrow" w:hAnsi="Arial Narrow"/>
        </w:rPr>
        <w:t>miento de límites. Mientras que el 42.</w:t>
      </w:r>
      <w:r w:rsidR="008E61DA" w:rsidRPr="006D144B">
        <w:rPr>
          <w:rFonts w:ascii="Arial Narrow" w:hAnsi="Arial Narrow"/>
        </w:rPr>
        <w:t>1</w:t>
      </w:r>
      <w:r w:rsidRPr="006D144B">
        <w:rPr>
          <w:rFonts w:ascii="Arial Narrow" w:hAnsi="Arial Narrow"/>
        </w:rPr>
        <w:t>% de ni</w:t>
      </w:r>
      <w:r w:rsidR="006D144B" w:rsidRPr="006D144B">
        <w:rPr>
          <w:rFonts w:ascii="Arial Narrow" w:hAnsi="Arial Narrow"/>
        </w:rPr>
        <w:t>ñas/os de 24 a 36 meses de edad</w:t>
      </w:r>
      <w:r w:rsidRPr="006D144B">
        <w:rPr>
          <w:rFonts w:ascii="Arial Narrow" w:hAnsi="Arial Narrow"/>
        </w:rPr>
        <w:t xml:space="preserve"> representa sus vivencias a través del juego y el dibujo</w:t>
      </w:r>
      <w:r w:rsidR="002067A2">
        <w:rPr>
          <w:rStyle w:val="Refdenotaalpie"/>
          <w:rFonts w:ascii="Arial Narrow" w:hAnsi="Arial Narrow"/>
        </w:rPr>
        <w:footnoteReference w:id="6"/>
      </w:r>
      <w:r w:rsidRPr="006D144B">
        <w:rPr>
          <w:rFonts w:ascii="Arial Narrow" w:hAnsi="Arial Narrow"/>
        </w:rPr>
        <w:t>.</w:t>
      </w:r>
    </w:p>
    <w:bookmarkEnd w:id="1"/>
    <w:p w14:paraId="33DEBAD5" w14:textId="77777777" w:rsidR="002067A2" w:rsidRPr="002067A2" w:rsidRDefault="002067A2" w:rsidP="002371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49B985C6" w14:textId="207C048B" w:rsidR="00131751" w:rsidRPr="00237156" w:rsidRDefault="00B95EEA" w:rsidP="002371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En el año 2020, l</w:t>
      </w:r>
      <w:r w:rsidR="00131751" w:rsidRPr="00237156">
        <w:rPr>
          <w:rFonts w:ascii="Arial Narrow" w:hAnsi="Arial Narrow"/>
        </w:rPr>
        <w:t xml:space="preserve">os </w:t>
      </w:r>
      <w:r w:rsidR="00E7613B">
        <w:rPr>
          <w:rFonts w:ascii="Arial Narrow" w:hAnsi="Arial Narrow"/>
        </w:rPr>
        <w:t>E</w:t>
      </w:r>
      <w:r w:rsidR="00131751" w:rsidRPr="00237156">
        <w:rPr>
          <w:rFonts w:ascii="Arial Narrow" w:hAnsi="Arial Narrow"/>
        </w:rPr>
        <w:t xml:space="preserve">jes 1 y 2 </w:t>
      </w:r>
      <w:r w:rsidR="006D144B">
        <w:rPr>
          <w:rFonts w:ascii="Arial Narrow" w:hAnsi="Arial Narrow"/>
        </w:rPr>
        <w:t xml:space="preserve">de la PNDIS </w:t>
      </w:r>
      <w:r w:rsidR="00131751" w:rsidRPr="00237156">
        <w:rPr>
          <w:rFonts w:ascii="Arial Narrow" w:hAnsi="Arial Narrow"/>
        </w:rPr>
        <w:t>s</w:t>
      </w:r>
      <w:r w:rsidR="00E7613B">
        <w:rPr>
          <w:rFonts w:ascii="Arial Narrow" w:hAnsi="Arial Narrow"/>
        </w:rPr>
        <w:t>e implementaron a través de 16 Programas P</w:t>
      </w:r>
      <w:r w:rsidR="00131751" w:rsidRPr="00237156">
        <w:rPr>
          <w:rFonts w:ascii="Arial Narrow" w:hAnsi="Arial Narrow"/>
        </w:rPr>
        <w:t>resupuestales y de la categoría presupuestal APNOP</w:t>
      </w:r>
      <w:r w:rsidR="00131751" w:rsidRPr="00E7613B">
        <w:rPr>
          <w:rFonts w:ascii="Arial Narrow" w:hAnsi="Arial Narrow"/>
          <w:vertAlign w:val="superscript"/>
        </w:rPr>
        <w:footnoteReference w:id="7"/>
      </w:r>
      <w:r w:rsidR="00E7613B">
        <w:rPr>
          <w:rFonts w:ascii="Arial Narrow" w:hAnsi="Arial Narrow"/>
        </w:rPr>
        <w:t>, con</w:t>
      </w:r>
      <w:r w:rsidR="00D00FD9" w:rsidRPr="00237156">
        <w:rPr>
          <w:rFonts w:ascii="Arial Narrow" w:hAnsi="Arial Narrow"/>
        </w:rPr>
        <w:t xml:space="preserve"> una ejecución </w:t>
      </w:r>
      <w:r w:rsidR="00D47F18">
        <w:rPr>
          <w:rFonts w:ascii="Arial Narrow" w:hAnsi="Arial Narrow"/>
        </w:rPr>
        <w:t xml:space="preserve">presupuestal </w:t>
      </w:r>
      <w:r w:rsidR="00E7613B">
        <w:rPr>
          <w:rFonts w:ascii="Arial Narrow" w:hAnsi="Arial Narrow"/>
        </w:rPr>
        <w:t xml:space="preserve">a nivel de devengado </w:t>
      </w:r>
      <w:r w:rsidR="00D00FD9" w:rsidRPr="00237156">
        <w:rPr>
          <w:rFonts w:ascii="Arial Narrow" w:hAnsi="Arial Narrow"/>
        </w:rPr>
        <w:t>de</w:t>
      </w:r>
      <w:r w:rsidR="00131751" w:rsidRPr="00237156">
        <w:rPr>
          <w:rFonts w:ascii="Arial Narrow" w:hAnsi="Arial Narrow"/>
        </w:rPr>
        <w:t xml:space="preserve"> </w:t>
      </w:r>
      <w:r w:rsidR="00C842FD">
        <w:rPr>
          <w:rFonts w:ascii="Arial Narrow" w:hAnsi="Arial Narrow"/>
        </w:rPr>
        <w:t>82.</w:t>
      </w:r>
      <w:r w:rsidR="009F3012" w:rsidRPr="00237156">
        <w:rPr>
          <w:rFonts w:ascii="Arial Narrow" w:hAnsi="Arial Narrow"/>
        </w:rPr>
        <w:t>6</w:t>
      </w:r>
      <w:r w:rsidR="00131751" w:rsidRPr="00237156">
        <w:rPr>
          <w:rFonts w:ascii="Arial Narrow" w:hAnsi="Arial Narrow"/>
        </w:rPr>
        <w:t>%</w:t>
      </w:r>
      <w:r w:rsidR="002067A2">
        <w:rPr>
          <w:rStyle w:val="Refdenotaalpie"/>
          <w:rFonts w:ascii="Arial Narrow" w:hAnsi="Arial Narrow"/>
        </w:rPr>
        <w:footnoteReference w:id="8"/>
      </w:r>
      <w:r w:rsidR="00B96E49" w:rsidRPr="00237156">
        <w:rPr>
          <w:rFonts w:ascii="Arial Narrow" w:hAnsi="Arial Narrow"/>
        </w:rPr>
        <w:t>.</w:t>
      </w:r>
    </w:p>
    <w:p w14:paraId="023BB8D4" w14:textId="77777777" w:rsidR="006D144B" w:rsidRPr="006D144B" w:rsidRDefault="006D144B" w:rsidP="00147F6C">
      <w:pPr>
        <w:ind w:left="284"/>
        <w:rPr>
          <w:rFonts w:ascii="Arial Narrow" w:hAnsi="Arial Narrow" w:cstheme="minorHAnsi"/>
          <w:b/>
          <w:sz w:val="2"/>
          <w:szCs w:val="2"/>
        </w:rPr>
      </w:pPr>
    </w:p>
    <w:p w14:paraId="131DE502" w14:textId="4436B7F3" w:rsidR="00882F42" w:rsidRDefault="00EF7C04" w:rsidP="00147F6C">
      <w:pPr>
        <w:ind w:left="284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OP.03. </w:t>
      </w:r>
      <w:r w:rsidRPr="00EF7C04">
        <w:rPr>
          <w:rFonts w:ascii="Arial Narrow" w:hAnsi="Arial Narrow" w:cstheme="minorHAnsi"/>
          <w:b/>
        </w:rPr>
        <w:t>Incrementar competencias para el desarrollo personal, educativo y ocupacional de las niñas, niños y adolescentes de acuerdo a la edad.</w:t>
      </w:r>
    </w:p>
    <w:p w14:paraId="3CCBDB7D" w14:textId="77777777" w:rsidR="00D47F18" w:rsidRPr="00D47F18" w:rsidRDefault="00D47F18" w:rsidP="00365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02C580ED" w14:textId="3472D181" w:rsidR="00FE6FBB" w:rsidRPr="009E2F6B" w:rsidRDefault="00365D67" w:rsidP="00365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 w:rsidRPr="009E2F6B">
        <w:rPr>
          <w:rFonts w:ascii="Arial Narrow" w:hAnsi="Arial Narrow"/>
        </w:rPr>
        <w:t>El Eje 3, Desarrollo Integral de la Niñez y la A</w:t>
      </w:r>
      <w:r w:rsidR="00771CE6" w:rsidRPr="009E2F6B">
        <w:rPr>
          <w:rFonts w:ascii="Arial Narrow" w:hAnsi="Arial Narrow"/>
        </w:rPr>
        <w:t>dolescencia)</w:t>
      </w:r>
      <w:r w:rsidRPr="009E2F6B">
        <w:rPr>
          <w:rFonts w:ascii="Arial Narrow" w:hAnsi="Arial Narrow"/>
        </w:rPr>
        <w:t>,</w:t>
      </w:r>
      <w:r w:rsidR="00771CE6" w:rsidRPr="009E2F6B">
        <w:rPr>
          <w:rFonts w:ascii="Arial Narrow" w:hAnsi="Arial Narrow"/>
        </w:rPr>
        <w:t xml:space="preserve"> </w:t>
      </w:r>
      <w:r w:rsidRPr="009E2F6B">
        <w:rPr>
          <w:rFonts w:ascii="Arial Narrow" w:hAnsi="Arial Narrow"/>
        </w:rPr>
        <w:t>tiene por</w:t>
      </w:r>
      <w:r w:rsidR="00771CE6" w:rsidRPr="009E2F6B">
        <w:rPr>
          <w:rFonts w:ascii="Arial Narrow" w:hAnsi="Arial Narrow"/>
        </w:rPr>
        <w:t xml:space="preserve"> resultado </w:t>
      </w:r>
      <w:r w:rsidRPr="009E2F6B">
        <w:rPr>
          <w:rFonts w:ascii="Arial Narrow" w:hAnsi="Arial Narrow"/>
        </w:rPr>
        <w:t>final: “Incrementar competencias para el desarrollo personal, educativo y ocupacional de las niñas, niños y adolescentes de acuerdo a la edad”</w:t>
      </w:r>
      <w:r w:rsidR="00771CE6" w:rsidRPr="009E2F6B">
        <w:rPr>
          <w:rFonts w:ascii="Arial Narrow" w:hAnsi="Arial Narrow"/>
        </w:rPr>
        <w:t xml:space="preserve">. </w:t>
      </w:r>
      <w:r w:rsidR="00FE6FBB" w:rsidRPr="009E2F6B">
        <w:rPr>
          <w:rFonts w:ascii="Arial Narrow" w:hAnsi="Arial Narrow"/>
        </w:rPr>
        <w:t xml:space="preserve">Al respecto, en </w:t>
      </w:r>
      <w:r w:rsidR="00B95EEA" w:rsidRPr="009E2F6B">
        <w:rPr>
          <w:rFonts w:ascii="Arial Narrow" w:hAnsi="Arial Narrow"/>
        </w:rPr>
        <w:t xml:space="preserve">el año </w:t>
      </w:r>
      <w:r w:rsidR="00FE6FBB" w:rsidRPr="009E2F6B">
        <w:rPr>
          <w:rFonts w:ascii="Arial Narrow" w:hAnsi="Arial Narrow"/>
        </w:rPr>
        <w:t>20</w:t>
      </w:r>
      <w:r w:rsidR="00734DBC" w:rsidRPr="009E2F6B">
        <w:rPr>
          <w:rFonts w:ascii="Arial Narrow" w:hAnsi="Arial Narrow"/>
        </w:rPr>
        <w:t>20</w:t>
      </w:r>
      <w:r w:rsidR="00FE6FBB" w:rsidRPr="009E2F6B">
        <w:rPr>
          <w:rFonts w:ascii="Arial Narrow" w:hAnsi="Arial Narrow"/>
        </w:rPr>
        <w:t>, el</w:t>
      </w:r>
      <w:r w:rsidR="00B95EEA" w:rsidRPr="009E2F6B">
        <w:rPr>
          <w:rFonts w:ascii="Arial Narrow" w:hAnsi="Arial Narrow"/>
        </w:rPr>
        <w:t xml:space="preserve"> </w:t>
      </w:r>
      <w:r w:rsidR="00B75C66" w:rsidRPr="009E2F6B">
        <w:rPr>
          <w:rFonts w:ascii="Arial Narrow" w:hAnsi="Arial Narrow"/>
        </w:rPr>
        <w:t xml:space="preserve">82.3 </w:t>
      </w:r>
      <w:r w:rsidR="00E426B7" w:rsidRPr="009E2F6B">
        <w:rPr>
          <w:rFonts w:ascii="Arial Narrow" w:hAnsi="Arial Narrow"/>
        </w:rPr>
        <w:t>%</w:t>
      </w:r>
      <w:r w:rsidR="00734DBC" w:rsidRPr="009E2F6B">
        <w:rPr>
          <w:rFonts w:ascii="Arial Narrow" w:hAnsi="Arial Narrow"/>
        </w:rPr>
        <w:t xml:space="preserve"> </w:t>
      </w:r>
      <w:r w:rsidR="00FE6FBB" w:rsidRPr="009E2F6B">
        <w:rPr>
          <w:rFonts w:ascii="Arial Narrow" w:hAnsi="Arial Narrow"/>
        </w:rPr>
        <w:t>de</w:t>
      </w:r>
      <w:r w:rsidR="001351BF" w:rsidRPr="009E2F6B">
        <w:rPr>
          <w:rFonts w:ascii="Arial Narrow" w:hAnsi="Arial Narrow"/>
        </w:rPr>
        <w:t xml:space="preserve"> estudiantes del grupo de edades</w:t>
      </w:r>
      <w:r w:rsidR="00FE6FBB" w:rsidRPr="009E2F6B">
        <w:rPr>
          <w:rFonts w:ascii="Arial Narrow" w:hAnsi="Arial Narrow"/>
        </w:rPr>
        <w:t xml:space="preserve"> de </w:t>
      </w:r>
      <w:r w:rsidR="00B75C66" w:rsidRPr="009E2F6B">
        <w:rPr>
          <w:rFonts w:ascii="Arial Narrow" w:hAnsi="Arial Narrow"/>
        </w:rPr>
        <w:t xml:space="preserve">17 </w:t>
      </w:r>
      <w:r w:rsidR="00FE6FBB" w:rsidRPr="009E2F6B">
        <w:rPr>
          <w:rFonts w:ascii="Arial Narrow" w:hAnsi="Arial Narrow"/>
        </w:rPr>
        <w:t xml:space="preserve">a </w:t>
      </w:r>
      <w:r w:rsidR="00B75C66" w:rsidRPr="009E2F6B">
        <w:rPr>
          <w:rFonts w:ascii="Arial Narrow" w:hAnsi="Arial Narrow"/>
        </w:rPr>
        <w:t xml:space="preserve">19 </w:t>
      </w:r>
      <w:r w:rsidR="00FE6FBB" w:rsidRPr="009E2F6B">
        <w:rPr>
          <w:rFonts w:ascii="Arial Narrow" w:hAnsi="Arial Narrow"/>
        </w:rPr>
        <w:t xml:space="preserve">años culminaron la educación secundaria; </w:t>
      </w:r>
      <w:r w:rsidR="00B95EEA" w:rsidRPr="009E2F6B">
        <w:rPr>
          <w:rFonts w:ascii="Arial Narrow" w:hAnsi="Arial Narrow"/>
        </w:rPr>
        <w:t>ello representa</w:t>
      </w:r>
      <w:r w:rsidR="007A6093" w:rsidRPr="009E2F6B">
        <w:rPr>
          <w:rFonts w:ascii="Arial Narrow" w:hAnsi="Arial Narrow"/>
        </w:rPr>
        <w:t xml:space="preserve"> un </w:t>
      </w:r>
      <w:r w:rsidR="00FE6FBB" w:rsidRPr="009E2F6B">
        <w:rPr>
          <w:rFonts w:ascii="Arial Narrow" w:hAnsi="Arial Narrow"/>
        </w:rPr>
        <w:t>increment</w:t>
      </w:r>
      <w:r w:rsidR="007A6093" w:rsidRPr="009E2F6B">
        <w:rPr>
          <w:rFonts w:ascii="Arial Narrow" w:hAnsi="Arial Narrow"/>
        </w:rPr>
        <w:t>o</w:t>
      </w:r>
      <w:r w:rsidR="00FE6FBB" w:rsidRPr="009E2F6B">
        <w:rPr>
          <w:rFonts w:ascii="Arial Narrow" w:hAnsi="Arial Narrow"/>
        </w:rPr>
        <w:t xml:space="preserve"> en </w:t>
      </w:r>
      <w:r w:rsidR="00B75C66" w:rsidRPr="009E2F6B">
        <w:rPr>
          <w:rFonts w:ascii="Arial Narrow" w:hAnsi="Arial Narrow"/>
        </w:rPr>
        <w:t xml:space="preserve">3.1 </w:t>
      </w:r>
      <w:r w:rsidR="00FE6FBB" w:rsidRPr="009E2F6B">
        <w:rPr>
          <w:rFonts w:ascii="Arial Narrow" w:hAnsi="Arial Narrow"/>
        </w:rPr>
        <w:t xml:space="preserve">p.p. respecto al </w:t>
      </w:r>
      <w:r w:rsidR="00B95EEA" w:rsidRPr="009E2F6B">
        <w:rPr>
          <w:rFonts w:ascii="Arial Narrow" w:hAnsi="Arial Narrow"/>
        </w:rPr>
        <w:t xml:space="preserve">año </w:t>
      </w:r>
      <w:r w:rsidR="00FE6FBB" w:rsidRPr="009E2F6B">
        <w:rPr>
          <w:rFonts w:ascii="Arial Narrow" w:hAnsi="Arial Narrow"/>
        </w:rPr>
        <w:t>201</w:t>
      </w:r>
      <w:r w:rsidR="00734DBC" w:rsidRPr="009E2F6B">
        <w:rPr>
          <w:rFonts w:ascii="Arial Narrow" w:hAnsi="Arial Narrow"/>
        </w:rPr>
        <w:t>9</w:t>
      </w:r>
      <w:r w:rsidR="00FE6FBB" w:rsidRPr="009E2F6B">
        <w:rPr>
          <w:rFonts w:ascii="Arial Narrow" w:hAnsi="Arial Narrow"/>
        </w:rPr>
        <w:t xml:space="preserve"> (</w:t>
      </w:r>
      <w:r w:rsidR="009E2F6B" w:rsidRPr="009E2F6B">
        <w:rPr>
          <w:rFonts w:ascii="Arial Narrow" w:hAnsi="Arial Narrow"/>
        </w:rPr>
        <w:t>79.2</w:t>
      </w:r>
      <w:r w:rsidR="00FE6FBB" w:rsidRPr="009E2F6B">
        <w:rPr>
          <w:rFonts w:ascii="Arial Narrow" w:hAnsi="Arial Narrow"/>
        </w:rPr>
        <w:t>%)</w:t>
      </w:r>
      <w:r w:rsidR="002067A2">
        <w:rPr>
          <w:rStyle w:val="Refdenotaalpie"/>
          <w:rFonts w:ascii="Arial Narrow" w:hAnsi="Arial Narrow"/>
        </w:rPr>
        <w:footnoteReference w:id="9"/>
      </w:r>
      <w:r w:rsidR="00FE6FBB" w:rsidRPr="009E2F6B">
        <w:rPr>
          <w:rFonts w:ascii="Arial Narrow" w:hAnsi="Arial Narrow"/>
        </w:rPr>
        <w:t xml:space="preserve">. </w:t>
      </w:r>
    </w:p>
    <w:p w14:paraId="7A266D70" w14:textId="77777777" w:rsidR="00B95EEA" w:rsidRPr="00B95EEA" w:rsidRDefault="00B95EEA" w:rsidP="00B95E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04155278" w14:textId="7E5B124A" w:rsidR="00EF7C04" w:rsidRDefault="00B95EEA" w:rsidP="00B95E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En el año 2020, tal eje se implementó a través de 16 Programas P</w:t>
      </w:r>
      <w:r w:rsidRPr="00237156">
        <w:rPr>
          <w:rFonts w:ascii="Arial Narrow" w:hAnsi="Arial Narrow"/>
        </w:rPr>
        <w:t>resupuestales y de la categoría presupuestal APNOP</w:t>
      </w:r>
      <w:r>
        <w:rPr>
          <w:rFonts w:ascii="Arial Narrow" w:hAnsi="Arial Narrow"/>
        </w:rPr>
        <w:t>, con</w:t>
      </w:r>
      <w:r w:rsidRPr="00237156">
        <w:rPr>
          <w:rFonts w:ascii="Arial Narrow" w:hAnsi="Arial Narrow"/>
        </w:rPr>
        <w:t xml:space="preserve"> una ejecución </w:t>
      </w:r>
      <w:r w:rsidR="00D47F18">
        <w:rPr>
          <w:rFonts w:ascii="Arial Narrow" w:hAnsi="Arial Narrow"/>
        </w:rPr>
        <w:t xml:space="preserve">presupuestal </w:t>
      </w:r>
      <w:r>
        <w:rPr>
          <w:rFonts w:ascii="Arial Narrow" w:hAnsi="Arial Narrow"/>
        </w:rPr>
        <w:t xml:space="preserve">a nivel de devengado </w:t>
      </w:r>
      <w:r w:rsidRPr="00237156">
        <w:rPr>
          <w:rFonts w:ascii="Arial Narrow" w:hAnsi="Arial Narrow"/>
        </w:rPr>
        <w:t xml:space="preserve">de </w:t>
      </w:r>
      <w:r w:rsidR="00131751" w:rsidRPr="00365D67">
        <w:rPr>
          <w:rFonts w:ascii="Arial Narrow" w:hAnsi="Arial Narrow"/>
        </w:rPr>
        <w:t>8</w:t>
      </w:r>
      <w:r w:rsidR="00734DBC" w:rsidRPr="00365D67">
        <w:rPr>
          <w:rFonts w:ascii="Arial Narrow" w:hAnsi="Arial Narrow"/>
        </w:rPr>
        <w:t>0</w:t>
      </w:r>
      <w:r w:rsidR="00131751" w:rsidRPr="00365D67">
        <w:rPr>
          <w:rFonts w:ascii="Arial Narrow" w:hAnsi="Arial Narrow"/>
        </w:rPr>
        <w:t>.</w:t>
      </w:r>
      <w:r>
        <w:rPr>
          <w:rFonts w:ascii="Arial Narrow" w:hAnsi="Arial Narrow"/>
        </w:rPr>
        <w:t>8</w:t>
      </w:r>
      <w:r w:rsidR="00131751" w:rsidRPr="00365D67">
        <w:rPr>
          <w:rFonts w:ascii="Arial Narrow" w:hAnsi="Arial Narrow"/>
        </w:rPr>
        <w:t>%</w:t>
      </w:r>
      <w:r w:rsidR="0050587F">
        <w:rPr>
          <w:rStyle w:val="Refdenotaalpie"/>
          <w:rFonts w:ascii="Arial Narrow" w:hAnsi="Arial Narrow"/>
        </w:rPr>
        <w:footnoteReference w:id="10"/>
      </w:r>
      <w:r w:rsidR="00131751" w:rsidRPr="00365D67">
        <w:rPr>
          <w:rFonts w:ascii="Arial Narrow" w:hAnsi="Arial Narrow"/>
        </w:rPr>
        <w:t>.</w:t>
      </w:r>
      <w:r w:rsidR="00734DBC" w:rsidRPr="00365D67">
        <w:rPr>
          <w:rFonts w:ascii="Arial Narrow" w:hAnsi="Arial Narrow"/>
        </w:rPr>
        <w:t xml:space="preserve"> </w:t>
      </w:r>
    </w:p>
    <w:p w14:paraId="481BF787" w14:textId="77777777" w:rsidR="00B95EEA" w:rsidRPr="00B95EEA" w:rsidRDefault="00B95EEA" w:rsidP="00B95E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221AA8DD" w14:textId="02952E97" w:rsidR="00EF7C04" w:rsidRDefault="00EF7C04" w:rsidP="00147F6C">
      <w:pPr>
        <w:ind w:left="284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OP.04. </w:t>
      </w:r>
      <w:r w:rsidRPr="00EF7C04">
        <w:rPr>
          <w:rFonts w:ascii="Arial Narrow" w:hAnsi="Arial Narrow" w:cstheme="minorHAnsi"/>
          <w:b/>
        </w:rPr>
        <w:t>Incrementar el ingreso autónomo de los hogares</w:t>
      </w:r>
      <w:r>
        <w:rPr>
          <w:rFonts w:ascii="Arial Narrow" w:hAnsi="Arial Narrow" w:cstheme="minorHAnsi"/>
          <w:b/>
        </w:rPr>
        <w:t>.</w:t>
      </w:r>
    </w:p>
    <w:p w14:paraId="269021DA" w14:textId="77777777" w:rsidR="00D47F18" w:rsidRPr="00D47F18" w:rsidRDefault="00D47F18" w:rsidP="00C001D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33742177" w14:textId="6E4F2EE3" w:rsidR="00EF7C04" w:rsidRDefault="00C001D3" w:rsidP="00C001D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El Eje 4, Inclusión Económica</w:t>
      </w:r>
      <w:r w:rsidR="00FE6FBB" w:rsidRPr="00C001D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se orienta a la consecución del </w:t>
      </w:r>
      <w:r w:rsidR="00FE6FBB" w:rsidRPr="00C001D3">
        <w:rPr>
          <w:rFonts w:ascii="Arial Narrow" w:hAnsi="Arial Narrow"/>
        </w:rPr>
        <w:t xml:space="preserve">resultado </w:t>
      </w:r>
      <w:r>
        <w:rPr>
          <w:rFonts w:ascii="Arial Narrow" w:hAnsi="Arial Narrow"/>
        </w:rPr>
        <w:t>final: “I</w:t>
      </w:r>
      <w:r w:rsidR="00FE6FBB" w:rsidRPr="00C001D3">
        <w:rPr>
          <w:rFonts w:ascii="Arial Narrow" w:hAnsi="Arial Narrow"/>
        </w:rPr>
        <w:t>ncrementar el ingreso autónomo de los hogares</w:t>
      </w:r>
      <w:r>
        <w:rPr>
          <w:rFonts w:ascii="Arial Narrow" w:hAnsi="Arial Narrow"/>
        </w:rPr>
        <w:t>”.</w:t>
      </w:r>
      <w:r w:rsidR="00FE6FBB" w:rsidRPr="00C001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Al respecto, </w:t>
      </w:r>
      <w:r w:rsidR="00FE6FBB" w:rsidRPr="00C001D3">
        <w:rPr>
          <w:rFonts w:ascii="Arial Narrow" w:hAnsi="Arial Narrow"/>
        </w:rPr>
        <w:t>l</w:t>
      </w:r>
      <w:r w:rsidR="007C371F">
        <w:rPr>
          <w:rFonts w:ascii="Arial Narrow" w:hAnsi="Arial Narrow"/>
        </w:rPr>
        <w:t>a incidencia de pobreza extrema</w:t>
      </w:r>
      <w:r w:rsidR="00FE6FBB" w:rsidRPr="00C001D3">
        <w:rPr>
          <w:rFonts w:ascii="Arial Narrow" w:hAnsi="Arial Narrow"/>
        </w:rPr>
        <w:t xml:space="preserve"> usando el </w:t>
      </w:r>
      <w:r w:rsidR="007C371F">
        <w:rPr>
          <w:rFonts w:ascii="Arial Narrow" w:hAnsi="Arial Narrow"/>
        </w:rPr>
        <w:t>ingreso autónomo de los hogares</w:t>
      </w:r>
      <w:r w:rsidR="00FE6FBB" w:rsidRPr="00C001D3">
        <w:rPr>
          <w:rFonts w:ascii="Arial Narrow" w:hAnsi="Arial Narrow"/>
        </w:rPr>
        <w:t xml:space="preserve"> </w:t>
      </w:r>
      <w:r w:rsidR="00E426B7" w:rsidRPr="00C001D3">
        <w:rPr>
          <w:rFonts w:ascii="Arial Narrow" w:hAnsi="Arial Narrow"/>
        </w:rPr>
        <w:t>aumentó</w:t>
      </w:r>
      <w:r w:rsidR="00FE6FBB" w:rsidRPr="00C001D3">
        <w:rPr>
          <w:rFonts w:ascii="Arial Narrow" w:hAnsi="Arial Narrow"/>
        </w:rPr>
        <w:t xml:space="preserve"> en </w:t>
      </w:r>
      <w:r w:rsidR="00E426B7" w:rsidRPr="00C001D3">
        <w:rPr>
          <w:rFonts w:ascii="Arial Narrow" w:hAnsi="Arial Narrow"/>
        </w:rPr>
        <w:t>5</w:t>
      </w:r>
      <w:r w:rsidR="00E266E1">
        <w:rPr>
          <w:rFonts w:ascii="Arial Narrow" w:hAnsi="Arial Narrow"/>
        </w:rPr>
        <w:t>.8</w:t>
      </w:r>
      <w:r w:rsidR="00FE6FBB" w:rsidRPr="00C001D3">
        <w:rPr>
          <w:rFonts w:ascii="Arial Narrow" w:hAnsi="Arial Narrow"/>
        </w:rPr>
        <w:t xml:space="preserve"> p.p.</w:t>
      </w:r>
      <w:r w:rsidR="002E532C" w:rsidRPr="00C001D3">
        <w:rPr>
          <w:rFonts w:ascii="Arial Narrow" w:hAnsi="Arial Narrow"/>
        </w:rPr>
        <w:t xml:space="preserve"> respecto al año anterior</w:t>
      </w:r>
      <w:r w:rsidR="007C371F">
        <w:rPr>
          <w:rFonts w:ascii="Arial Narrow" w:hAnsi="Arial Narrow"/>
        </w:rPr>
        <w:t>,</w:t>
      </w:r>
      <w:r w:rsidR="00FE6FBB" w:rsidRPr="00C001D3">
        <w:rPr>
          <w:rFonts w:ascii="Arial Narrow" w:hAnsi="Arial Narrow"/>
        </w:rPr>
        <w:t xml:space="preserve"> pasando de</w:t>
      </w:r>
      <w:r w:rsidR="002E532C" w:rsidRPr="00C001D3">
        <w:rPr>
          <w:rFonts w:ascii="Arial Narrow" w:hAnsi="Arial Narrow"/>
        </w:rPr>
        <w:t xml:space="preserve"> </w:t>
      </w:r>
      <w:r w:rsidR="007C371F">
        <w:rPr>
          <w:rFonts w:ascii="Arial Narrow" w:hAnsi="Arial Narrow"/>
        </w:rPr>
        <w:t>5.</w:t>
      </w:r>
      <w:r w:rsidR="002E532C" w:rsidRPr="00C001D3">
        <w:rPr>
          <w:rFonts w:ascii="Arial Narrow" w:hAnsi="Arial Narrow"/>
        </w:rPr>
        <w:t>4%</w:t>
      </w:r>
      <w:r w:rsidR="0050587F">
        <w:rPr>
          <w:rStyle w:val="Refdenotaalpie"/>
          <w:rFonts w:ascii="Arial Narrow" w:hAnsi="Arial Narrow"/>
        </w:rPr>
        <w:footnoteReference w:id="11"/>
      </w:r>
      <w:r w:rsidR="002E532C" w:rsidRPr="00C001D3">
        <w:rPr>
          <w:rFonts w:ascii="Arial Narrow" w:hAnsi="Arial Narrow"/>
        </w:rPr>
        <w:t xml:space="preserve"> en 2019 a</w:t>
      </w:r>
      <w:r w:rsidR="007C371F">
        <w:rPr>
          <w:rFonts w:ascii="Arial Narrow" w:hAnsi="Arial Narrow"/>
        </w:rPr>
        <w:t xml:space="preserve"> </w:t>
      </w:r>
      <w:r w:rsidR="007C371F" w:rsidRPr="00E266E1">
        <w:rPr>
          <w:rFonts w:ascii="Arial Narrow" w:hAnsi="Arial Narrow"/>
        </w:rPr>
        <w:t>1</w:t>
      </w:r>
      <w:r w:rsidR="00E266E1" w:rsidRPr="00E266E1">
        <w:rPr>
          <w:rFonts w:ascii="Arial Narrow" w:hAnsi="Arial Narrow"/>
        </w:rPr>
        <w:t>1</w:t>
      </w:r>
      <w:r w:rsidR="007C371F" w:rsidRPr="00E266E1">
        <w:rPr>
          <w:rFonts w:ascii="Arial Narrow" w:hAnsi="Arial Narrow"/>
        </w:rPr>
        <w:t>.</w:t>
      </w:r>
      <w:r w:rsidR="00E266E1" w:rsidRPr="00E266E1">
        <w:rPr>
          <w:rFonts w:ascii="Arial Narrow" w:hAnsi="Arial Narrow"/>
        </w:rPr>
        <w:t>2</w:t>
      </w:r>
      <w:r w:rsidR="00E426B7" w:rsidRPr="00E266E1">
        <w:rPr>
          <w:rFonts w:ascii="Arial Narrow" w:hAnsi="Arial Narrow"/>
        </w:rPr>
        <w:t>%</w:t>
      </w:r>
      <w:r w:rsidR="0050587F">
        <w:rPr>
          <w:rStyle w:val="Refdenotaalpie"/>
          <w:rFonts w:ascii="Arial Narrow" w:hAnsi="Arial Narrow"/>
        </w:rPr>
        <w:footnoteReference w:id="12"/>
      </w:r>
      <w:r w:rsidR="007C371F" w:rsidRPr="00E266E1">
        <w:rPr>
          <w:rFonts w:ascii="Arial Narrow" w:hAnsi="Arial Narrow"/>
        </w:rPr>
        <w:t xml:space="preserve"> en 2020</w:t>
      </w:r>
      <w:r w:rsidR="007C371F">
        <w:rPr>
          <w:rFonts w:ascii="Arial Narrow" w:hAnsi="Arial Narrow"/>
        </w:rPr>
        <w:t>.</w:t>
      </w:r>
    </w:p>
    <w:p w14:paraId="5C8AF66D" w14:textId="77777777" w:rsidR="007C371F" w:rsidRPr="007C371F" w:rsidRDefault="007C371F" w:rsidP="00C001D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72D19694" w14:textId="30C4700B" w:rsidR="004F1645" w:rsidRDefault="00E266E1" w:rsidP="00C001D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En el año 2020, dicho eje</w:t>
      </w:r>
      <w:r w:rsidR="00FE6FBB" w:rsidRPr="00C001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 implementó</w:t>
      </w:r>
      <w:r w:rsidR="00FE6FBB" w:rsidRPr="00C001D3">
        <w:rPr>
          <w:rFonts w:ascii="Arial Narrow" w:hAnsi="Arial Narrow"/>
        </w:rPr>
        <w:t xml:space="preserve"> a través de 40 </w:t>
      </w:r>
      <w:r>
        <w:rPr>
          <w:rFonts w:ascii="Arial Narrow" w:hAnsi="Arial Narrow"/>
        </w:rPr>
        <w:t>Programas P</w:t>
      </w:r>
      <w:r w:rsidR="00FE6FBB" w:rsidRPr="00C001D3">
        <w:rPr>
          <w:rFonts w:ascii="Arial Narrow" w:hAnsi="Arial Narrow"/>
        </w:rPr>
        <w:t xml:space="preserve">resupuestales y de la categoría presupuestal APNOP, </w:t>
      </w:r>
      <w:r>
        <w:rPr>
          <w:rFonts w:ascii="Arial Narrow" w:hAnsi="Arial Narrow"/>
        </w:rPr>
        <w:t>con una</w:t>
      </w:r>
      <w:r w:rsidR="002E532C" w:rsidRPr="00C001D3">
        <w:rPr>
          <w:rFonts w:ascii="Arial Narrow" w:hAnsi="Arial Narrow"/>
        </w:rPr>
        <w:t xml:space="preserve"> ejecución </w:t>
      </w:r>
      <w:r w:rsidR="00D47F18">
        <w:rPr>
          <w:rFonts w:ascii="Arial Narrow" w:hAnsi="Arial Narrow"/>
        </w:rPr>
        <w:t xml:space="preserve">presupuestal </w:t>
      </w:r>
      <w:r>
        <w:rPr>
          <w:rFonts w:ascii="Arial Narrow" w:hAnsi="Arial Narrow"/>
        </w:rPr>
        <w:t xml:space="preserve">a nivel de devengado </w:t>
      </w:r>
      <w:r w:rsidR="002E532C" w:rsidRPr="00C001D3">
        <w:rPr>
          <w:rFonts w:ascii="Arial Narrow" w:hAnsi="Arial Narrow"/>
        </w:rPr>
        <w:t>de</w:t>
      </w:r>
      <w:r w:rsidR="00FE6FBB" w:rsidRPr="00C001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67.</w:t>
      </w:r>
      <w:r w:rsidR="00D47F18">
        <w:rPr>
          <w:rFonts w:ascii="Arial Narrow" w:hAnsi="Arial Narrow"/>
        </w:rPr>
        <w:t>1</w:t>
      </w:r>
      <w:r>
        <w:rPr>
          <w:rFonts w:ascii="Arial Narrow" w:hAnsi="Arial Narrow"/>
        </w:rPr>
        <w:t>%</w:t>
      </w:r>
      <w:r w:rsidR="0050587F">
        <w:rPr>
          <w:rStyle w:val="Refdenotaalpie"/>
          <w:rFonts w:ascii="Arial Narrow" w:hAnsi="Arial Narrow"/>
        </w:rPr>
        <w:footnoteReference w:id="13"/>
      </w:r>
      <w:r>
        <w:rPr>
          <w:rFonts w:ascii="Arial Narrow" w:hAnsi="Arial Narrow"/>
        </w:rPr>
        <w:t>.</w:t>
      </w:r>
    </w:p>
    <w:p w14:paraId="2FC9B78D" w14:textId="77777777" w:rsidR="00E266E1" w:rsidRPr="00E266E1" w:rsidRDefault="00E266E1" w:rsidP="00C001D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39088E64" w14:textId="0CE872CB" w:rsidR="00EF7C04" w:rsidRDefault="00EF7C04" w:rsidP="00147F6C">
      <w:pPr>
        <w:ind w:left="284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OP.05. </w:t>
      </w:r>
      <w:r w:rsidRPr="00EF7C04">
        <w:rPr>
          <w:rFonts w:ascii="Arial Narrow" w:hAnsi="Arial Narrow" w:cstheme="minorHAnsi"/>
          <w:b/>
        </w:rPr>
        <w:t>Incrementar el bienestar y protección del adulto mayor</w:t>
      </w:r>
      <w:r w:rsidR="00D47F18">
        <w:rPr>
          <w:rFonts w:ascii="Arial Narrow" w:hAnsi="Arial Narrow" w:cstheme="minorHAnsi"/>
          <w:b/>
        </w:rPr>
        <w:t>.</w:t>
      </w:r>
    </w:p>
    <w:p w14:paraId="09EAEFCF" w14:textId="77777777" w:rsidR="00D47F18" w:rsidRPr="00D47F18" w:rsidRDefault="00D47F18" w:rsidP="00D47F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045293BE" w14:textId="5DE8EE36" w:rsidR="00D47F18" w:rsidRDefault="00D47F18" w:rsidP="00D47F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El Eje 5, Protección del Adulto Mayor</w:t>
      </w:r>
      <w:r w:rsidR="00FE6FBB" w:rsidRPr="00D47F18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aspira a: “I</w:t>
      </w:r>
      <w:r w:rsidR="00FE6FBB" w:rsidRPr="00D47F18">
        <w:rPr>
          <w:rFonts w:ascii="Arial Narrow" w:hAnsi="Arial Narrow"/>
        </w:rPr>
        <w:t xml:space="preserve">ncrementar el bienestar </w:t>
      </w:r>
      <w:r>
        <w:rPr>
          <w:rFonts w:ascii="Arial Narrow" w:hAnsi="Arial Narrow"/>
        </w:rPr>
        <w:t>y protección del adulto mayor”.</w:t>
      </w:r>
      <w:r w:rsidR="00FE6FBB" w:rsidRPr="00D47F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Sobre el particular, se observó </w:t>
      </w:r>
      <w:r w:rsidR="00FE6FBB" w:rsidRPr="00D47F18">
        <w:rPr>
          <w:rFonts w:ascii="Arial Narrow" w:hAnsi="Arial Narrow"/>
        </w:rPr>
        <w:t>que la pobreza extrema en las personas adultas mayores</w:t>
      </w:r>
      <w:r w:rsidR="004B1E72" w:rsidRPr="00D47F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fue</w:t>
      </w:r>
      <w:r w:rsidR="004B1E72" w:rsidRPr="00D47F18">
        <w:rPr>
          <w:rFonts w:ascii="Arial Narrow" w:hAnsi="Arial Narrow"/>
        </w:rPr>
        <w:t xml:space="preserve"> del </w:t>
      </w:r>
      <w:r>
        <w:rPr>
          <w:rFonts w:ascii="Arial Narrow" w:hAnsi="Arial Narrow"/>
        </w:rPr>
        <w:t>2.</w:t>
      </w:r>
      <w:r w:rsidR="00E426B7" w:rsidRPr="00D47F18">
        <w:rPr>
          <w:rFonts w:ascii="Arial Narrow" w:hAnsi="Arial Narrow"/>
        </w:rPr>
        <w:t>2</w:t>
      </w:r>
      <w:r w:rsidR="004B1E72" w:rsidRPr="00D47F18">
        <w:rPr>
          <w:rFonts w:ascii="Arial Narrow" w:hAnsi="Arial Narrow"/>
        </w:rPr>
        <w:t>%</w:t>
      </w:r>
      <w:r w:rsidR="0050587F">
        <w:rPr>
          <w:rStyle w:val="Refdenotaalpie"/>
          <w:rFonts w:ascii="Arial Narrow" w:hAnsi="Arial Narrow"/>
        </w:rPr>
        <w:footnoteReference w:id="14"/>
      </w:r>
      <w:r w:rsidR="004B1E72" w:rsidRPr="00D47F18">
        <w:rPr>
          <w:rFonts w:ascii="Arial Narrow" w:hAnsi="Arial Narrow"/>
        </w:rPr>
        <w:t xml:space="preserve"> en el año 2020, </w:t>
      </w:r>
      <w:r>
        <w:rPr>
          <w:rFonts w:ascii="Arial Narrow" w:hAnsi="Arial Narrow"/>
        </w:rPr>
        <w:t xml:space="preserve">lo que representó </w:t>
      </w:r>
      <w:r w:rsidR="004B1E72" w:rsidRPr="00D47F18">
        <w:rPr>
          <w:rFonts w:ascii="Arial Narrow" w:hAnsi="Arial Narrow"/>
        </w:rPr>
        <w:t>un</w:t>
      </w:r>
      <w:r>
        <w:rPr>
          <w:rFonts w:ascii="Arial Narrow" w:hAnsi="Arial Narrow"/>
        </w:rPr>
        <w:t xml:space="preserve"> aumento 0.</w:t>
      </w:r>
      <w:r w:rsidR="00E426B7" w:rsidRPr="00D47F18">
        <w:rPr>
          <w:rFonts w:ascii="Arial Narrow" w:hAnsi="Arial Narrow"/>
        </w:rPr>
        <w:t>1 p.p. respecto al año 2019 (</w:t>
      </w:r>
      <w:r>
        <w:rPr>
          <w:rFonts w:ascii="Arial Narrow" w:hAnsi="Arial Narrow"/>
        </w:rPr>
        <w:t>2.</w:t>
      </w:r>
      <w:r w:rsidR="00E426B7" w:rsidRPr="00D47F18">
        <w:rPr>
          <w:rFonts w:ascii="Arial Narrow" w:hAnsi="Arial Narrow"/>
        </w:rPr>
        <w:t>1%)</w:t>
      </w:r>
      <w:r w:rsidR="0050587F">
        <w:rPr>
          <w:rStyle w:val="Refdenotaalpie"/>
          <w:rFonts w:ascii="Arial Narrow" w:hAnsi="Arial Narrow"/>
        </w:rPr>
        <w:footnoteReference w:id="15"/>
      </w:r>
      <w:r>
        <w:rPr>
          <w:rFonts w:ascii="Arial Narrow" w:hAnsi="Arial Narrow"/>
        </w:rPr>
        <w:t>.</w:t>
      </w:r>
    </w:p>
    <w:p w14:paraId="4C07728C" w14:textId="77777777" w:rsidR="0050587F" w:rsidRPr="00D47F18" w:rsidRDefault="0050587F" w:rsidP="00D47F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322EC8A8" w14:textId="7C149146" w:rsidR="004F1645" w:rsidRDefault="00D47F18" w:rsidP="00D47F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En el año 2020, el citado eje</w:t>
      </w:r>
      <w:r w:rsidR="00FE6FBB" w:rsidRPr="00D47F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 implementó a través de 11 Programas P</w:t>
      </w:r>
      <w:r w:rsidR="00FE6FBB" w:rsidRPr="00D47F18">
        <w:rPr>
          <w:rFonts w:ascii="Arial Narrow" w:hAnsi="Arial Narrow"/>
        </w:rPr>
        <w:t xml:space="preserve">resupuestales y de la categoría presupuestal APNOP, </w:t>
      </w:r>
      <w:r>
        <w:rPr>
          <w:rFonts w:ascii="Arial Narrow" w:hAnsi="Arial Narrow"/>
        </w:rPr>
        <w:t xml:space="preserve">con una </w:t>
      </w:r>
      <w:r w:rsidR="00FE6FBB" w:rsidRPr="00D47F18">
        <w:rPr>
          <w:rFonts w:ascii="Arial Narrow" w:hAnsi="Arial Narrow"/>
        </w:rPr>
        <w:t xml:space="preserve">ejecución </w:t>
      </w:r>
      <w:r>
        <w:rPr>
          <w:rFonts w:ascii="Arial Narrow" w:hAnsi="Arial Narrow"/>
        </w:rPr>
        <w:t xml:space="preserve">presupuestal a nivel de devengado </w:t>
      </w:r>
      <w:r w:rsidR="00FE6FBB" w:rsidRPr="00D47F18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70.5</w:t>
      </w:r>
      <w:r w:rsidR="004B1E72" w:rsidRPr="00D47F18">
        <w:rPr>
          <w:rFonts w:ascii="Arial Narrow" w:hAnsi="Arial Narrow"/>
        </w:rPr>
        <w:t>%</w:t>
      </w:r>
      <w:r w:rsidR="0050587F">
        <w:rPr>
          <w:rStyle w:val="Refdenotaalpie"/>
          <w:rFonts w:ascii="Arial Narrow" w:hAnsi="Arial Narrow"/>
        </w:rPr>
        <w:footnoteReference w:id="16"/>
      </w:r>
      <w:r w:rsidR="004B1E72" w:rsidRPr="00D47F18">
        <w:rPr>
          <w:rFonts w:ascii="Arial Narrow" w:hAnsi="Arial Narrow"/>
        </w:rPr>
        <w:t>.</w:t>
      </w:r>
    </w:p>
    <w:p w14:paraId="0196C597" w14:textId="77777777" w:rsidR="00D47F18" w:rsidRPr="00D47F18" w:rsidRDefault="00D47F18" w:rsidP="00D47F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74EBA043" w14:textId="6DB4A2C8" w:rsidR="004507EA" w:rsidRPr="004C52FE" w:rsidRDefault="004507EA" w:rsidP="004507EA">
      <w:pPr>
        <w:pStyle w:val="Prrafodelista"/>
        <w:numPr>
          <w:ilvl w:val="0"/>
          <w:numId w:val="5"/>
        </w:numPr>
        <w:ind w:left="284" w:hanging="218"/>
        <w:rPr>
          <w:rFonts w:ascii="Arial Narrow" w:hAnsi="Arial Narrow" w:cstheme="minorHAnsi"/>
          <w:b/>
        </w:rPr>
      </w:pPr>
      <w:r w:rsidRPr="004C52FE">
        <w:rPr>
          <w:rFonts w:ascii="Arial Narrow" w:hAnsi="Arial Narrow" w:cstheme="minorHAnsi"/>
          <w:b/>
        </w:rPr>
        <w:t>Alternativas para mejorar el cumplimiento e implementación de la política nacional</w:t>
      </w:r>
    </w:p>
    <w:p w14:paraId="52F74146" w14:textId="6B464109" w:rsidR="00E032A9" w:rsidRDefault="00536B4F" w:rsidP="00536B4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primer término, se estima prioritario culminar con el proceso de </w:t>
      </w:r>
      <w:r w:rsidR="006F5CBD" w:rsidRPr="00536B4F">
        <w:rPr>
          <w:rFonts w:ascii="Arial Narrow" w:hAnsi="Arial Narrow"/>
        </w:rPr>
        <w:t>actualización de la PNDIS</w:t>
      </w:r>
      <w:r w:rsidR="00E032A9">
        <w:rPr>
          <w:rFonts w:ascii="Arial Narrow" w:hAnsi="Arial Narrow"/>
        </w:rPr>
        <w:t xml:space="preserve"> en el contexto de los alcances del Decreto Supremo N° 029-2018-PCM y sus modificatorias, así como lo regulado por la Guía de Políticas Nacionales, modificada mediante </w:t>
      </w:r>
      <w:r w:rsidR="00E032A9" w:rsidRPr="00E032A9">
        <w:rPr>
          <w:rFonts w:ascii="Arial Narrow" w:hAnsi="Arial Narrow"/>
        </w:rPr>
        <w:t>Resolución de Presidencia de Consejo Directivo N° 057-2018-CEPLAN/PCD</w:t>
      </w:r>
      <w:r w:rsidR="00E032A9">
        <w:rPr>
          <w:rFonts w:ascii="Arial Narrow" w:hAnsi="Arial Narrow"/>
        </w:rPr>
        <w:t>.</w:t>
      </w:r>
    </w:p>
    <w:p w14:paraId="0139DE46" w14:textId="77777777" w:rsidR="00F91C81" w:rsidRPr="00F91C81" w:rsidRDefault="00F91C81" w:rsidP="00536B4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77006927" w14:textId="45BF2632" w:rsidR="00F91C81" w:rsidRDefault="00E032A9" w:rsidP="00F91C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Asimismo, se considera pertinente potenciar el ejercicio de la rectoría y gobernanza para la consecución de los resultados finales a</w:t>
      </w:r>
      <w:r w:rsidR="00F91C81">
        <w:rPr>
          <w:rFonts w:ascii="Arial Narrow" w:hAnsi="Arial Narrow"/>
        </w:rPr>
        <w:t>sociados a cada E</w:t>
      </w:r>
      <w:r>
        <w:rPr>
          <w:rFonts w:ascii="Arial Narrow" w:hAnsi="Arial Narrow"/>
        </w:rPr>
        <w:t xml:space="preserve">je de la PNDIS, </w:t>
      </w:r>
      <w:r w:rsidR="00F91C81">
        <w:rPr>
          <w:rFonts w:ascii="Arial Narrow" w:hAnsi="Arial Narrow"/>
        </w:rPr>
        <w:t xml:space="preserve">tomando como referencia la experiencia acumulada en el diseño e implementación intersectorial e intergubernamental de los Ejes 1, Nutrición Infantil, y 2, Desarrollo Infantil Temprano; que han tenido como </w:t>
      </w:r>
      <w:r w:rsidR="00F91C81" w:rsidRPr="00F91C81">
        <w:rPr>
          <w:rFonts w:ascii="Arial Narrow" w:hAnsi="Arial Narrow"/>
        </w:rPr>
        <w:t>instrumentos precedentes</w:t>
      </w:r>
      <w:r w:rsidR="00F91C81">
        <w:rPr>
          <w:rFonts w:ascii="Arial Narrow" w:hAnsi="Arial Narrow"/>
        </w:rPr>
        <w:t xml:space="preserve"> los siguientes:</w:t>
      </w:r>
    </w:p>
    <w:p w14:paraId="6596CEF1" w14:textId="77777777" w:rsidR="00F91C81" w:rsidRPr="00F91C81" w:rsidRDefault="00F91C81" w:rsidP="00F91C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7E925001" w14:textId="77777777" w:rsidR="00F91C81" w:rsidRDefault="00F91C81" w:rsidP="00F91C8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rFonts w:ascii="Arial Narrow" w:hAnsi="Arial Narrow"/>
        </w:rPr>
      </w:pPr>
      <w:r w:rsidRPr="00F91C81">
        <w:rPr>
          <w:rFonts w:ascii="Arial Narrow" w:hAnsi="Arial Narrow"/>
        </w:rPr>
        <w:t>Lineamientos para la Gestión Articulada Intersectorial e Intergubernamental orientada a promover el Desarrollo Infantil Temprano, denominados “Primero la Infancia”, aprobados mediante Decreto Supremo N° 010-2016-MIDIS</w:t>
      </w:r>
      <w:r>
        <w:rPr>
          <w:rFonts w:ascii="Arial Narrow" w:hAnsi="Arial Narrow"/>
        </w:rPr>
        <w:t>.</w:t>
      </w:r>
    </w:p>
    <w:p w14:paraId="003EF18B" w14:textId="77777777" w:rsidR="00F91C81" w:rsidRDefault="00F91C81" w:rsidP="00F91C8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rFonts w:ascii="Arial Narrow" w:hAnsi="Arial Narrow"/>
        </w:rPr>
      </w:pPr>
      <w:r w:rsidRPr="00F91C81">
        <w:rPr>
          <w:rFonts w:ascii="Arial Narrow" w:hAnsi="Arial Narrow"/>
        </w:rPr>
        <w:t>Estrategia de Gestión Territorial “Primero la Infancia” para la articulación de las Entidades del Gobierno Nacional, Regional y Local en la promoción del Desarrollo Infantil Temprano</w:t>
      </w:r>
      <w:r>
        <w:rPr>
          <w:rFonts w:ascii="Arial Narrow" w:hAnsi="Arial Narrow"/>
        </w:rPr>
        <w:t xml:space="preserve">, </w:t>
      </w:r>
      <w:r w:rsidRPr="00F91C81">
        <w:rPr>
          <w:rFonts w:ascii="Arial Narrow" w:hAnsi="Arial Narrow"/>
        </w:rPr>
        <w:t>aprobada con Decreto Supremo N°</w:t>
      </w:r>
      <w:r>
        <w:rPr>
          <w:rFonts w:ascii="Arial Narrow" w:hAnsi="Arial Narrow"/>
        </w:rPr>
        <w:t xml:space="preserve"> 003-2019-MIDIS.</w:t>
      </w:r>
    </w:p>
    <w:p w14:paraId="7232D1FB" w14:textId="223C8068" w:rsidR="00F91C81" w:rsidRDefault="00F91C81" w:rsidP="00F91C8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rFonts w:ascii="Arial Narrow" w:hAnsi="Arial Narrow"/>
        </w:rPr>
      </w:pPr>
      <w:r w:rsidRPr="00F91C81">
        <w:rPr>
          <w:rFonts w:ascii="Arial Narrow" w:hAnsi="Arial Narrow"/>
        </w:rPr>
        <w:t>Programa Presupuestal orientado a Resultados en Desarrollo Infantil Temprano (</w:t>
      </w:r>
      <w:proofErr w:type="spellStart"/>
      <w:r w:rsidRPr="00F91C81">
        <w:rPr>
          <w:rFonts w:ascii="Arial Narrow" w:hAnsi="Arial Narrow"/>
        </w:rPr>
        <w:t>PPoR</w:t>
      </w:r>
      <w:proofErr w:type="spellEnd"/>
      <w:r w:rsidRPr="00F91C81">
        <w:rPr>
          <w:rFonts w:ascii="Arial Narrow" w:hAnsi="Arial Narrow"/>
        </w:rPr>
        <w:t>-DIT)</w:t>
      </w:r>
      <w:r>
        <w:rPr>
          <w:rFonts w:ascii="Arial Narrow" w:hAnsi="Arial Narrow"/>
        </w:rPr>
        <w:t xml:space="preserve">, </w:t>
      </w:r>
      <w:r w:rsidRPr="00F91C81">
        <w:rPr>
          <w:rFonts w:ascii="Arial Narrow" w:hAnsi="Arial Narrow"/>
        </w:rPr>
        <w:t xml:space="preserve">aprobado </w:t>
      </w:r>
      <w:r>
        <w:rPr>
          <w:rFonts w:ascii="Arial Narrow" w:hAnsi="Arial Narrow"/>
        </w:rPr>
        <w:t>por</w:t>
      </w:r>
      <w:r w:rsidRPr="00F91C81">
        <w:rPr>
          <w:rFonts w:ascii="Arial Narrow" w:hAnsi="Arial Narrow"/>
        </w:rPr>
        <w:t xml:space="preserve"> Re</w:t>
      </w:r>
      <w:r>
        <w:rPr>
          <w:rFonts w:ascii="Arial Narrow" w:hAnsi="Arial Narrow"/>
        </w:rPr>
        <w:t>solución Suprema N° 023-2019-EF</w:t>
      </w:r>
      <w:r w:rsidRPr="00F91C81">
        <w:rPr>
          <w:rFonts w:ascii="Arial Narrow" w:hAnsi="Arial Narrow"/>
        </w:rPr>
        <w:t>.</w:t>
      </w:r>
    </w:p>
    <w:p w14:paraId="0616D7DF" w14:textId="62858198" w:rsidR="001351BF" w:rsidRPr="006D144B" w:rsidRDefault="001351BF" w:rsidP="00F91C8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rFonts w:ascii="Arial Narrow" w:hAnsi="Arial Narrow"/>
        </w:rPr>
      </w:pPr>
      <w:r w:rsidRPr="006D144B">
        <w:rPr>
          <w:rFonts w:ascii="Arial Narrow" w:hAnsi="Arial Narrow"/>
        </w:rPr>
        <w:t xml:space="preserve">Disposiciones para la articulación y actuación conjunta para la implementación del </w:t>
      </w:r>
      <w:r w:rsidR="006D144B" w:rsidRPr="006D144B">
        <w:rPr>
          <w:rFonts w:ascii="Arial Narrow" w:hAnsi="Arial Narrow"/>
        </w:rPr>
        <w:t>P</w:t>
      </w:r>
      <w:r w:rsidRPr="006D144B">
        <w:rPr>
          <w:rFonts w:ascii="Arial Narrow" w:hAnsi="Arial Narrow"/>
        </w:rPr>
        <w:t xml:space="preserve">rograma </w:t>
      </w:r>
      <w:r w:rsidR="006D144B" w:rsidRPr="006D144B">
        <w:rPr>
          <w:rFonts w:ascii="Arial Narrow" w:hAnsi="Arial Narrow"/>
        </w:rPr>
        <w:t>P</w:t>
      </w:r>
      <w:r w:rsidRPr="006D144B">
        <w:rPr>
          <w:rFonts w:ascii="Arial Narrow" w:hAnsi="Arial Narrow"/>
        </w:rPr>
        <w:t xml:space="preserve">resupuestal orientado a </w:t>
      </w:r>
      <w:r w:rsidR="006D144B" w:rsidRPr="006D144B">
        <w:rPr>
          <w:rFonts w:ascii="Arial Narrow" w:hAnsi="Arial Narrow"/>
        </w:rPr>
        <w:t>Resultados de Desarrollo Infantil T</w:t>
      </w:r>
      <w:r w:rsidRPr="006D144B">
        <w:rPr>
          <w:rFonts w:ascii="Arial Narrow" w:hAnsi="Arial Narrow"/>
        </w:rPr>
        <w:t>emprano”, aprobado mediante Decreto Supremo N° 006-2021-MIDIS.</w:t>
      </w:r>
    </w:p>
    <w:p w14:paraId="5BA6A92C" w14:textId="23B4D2EE" w:rsidR="00727934" w:rsidRPr="006D144B" w:rsidRDefault="00727934" w:rsidP="0072793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Arial Narrow" w:hAnsi="Arial Narrow"/>
          <w:color w:val="0000FF"/>
          <w:sz w:val="14"/>
          <w:szCs w:val="14"/>
        </w:rPr>
      </w:pPr>
    </w:p>
    <w:p w14:paraId="618A7D3A" w14:textId="0B5C1E0C" w:rsidR="00727934" w:rsidRPr="006D144B" w:rsidRDefault="00727934" w:rsidP="007279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 w:rsidRPr="006D144B">
        <w:rPr>
          <w:rFonts w:ascii="Arial Narrow" w:hAnsi="Arial Narrow"/>
        </w:rPr>
        <w:t>Para el caso del Eje 4, Inclusión Económica, se considera necesario emitir lineamientos técnicos para la adecuada ejecución y supervisión de intervenciones en dicha materia, buscando reducir las duplicidades, mejorar la eficiencia y orientar mejor el gasto público de acuerdo con la mejor evidencia disponible. Asimismo, el aumento de las cifras de pobreza en el último año a consecuencia de la emergencia sanitaria requiere reanudar el proceso de renovación de política social y de inclusión económica, incorporando los cambios y nuevas tendencias que enfrentan los peruanos y peruanas. Siguiendo la experiencia acumulada en Desarrollo Infantil Temprano, el MIDIS se encuentra trabajando en el diseño de Lineamientos de Inclusión Económica y Productiva, una herramienta de políticas que articula y armoniza objetivos a nivel intersectorial e intergubernamental</w:t>
      </w:r>
      <w:r w:rsidR="006D144B" w:rsidRPr="006D144B">
        <w:rPr>
          <w:rFonts w:ascii="Arial Narrow" w:hAnsi="Arial Narrow"/>
        </w:rPr>
        <w:t>,</w:t>
      </w:r>
      <w:r w:rsidRPr="006D144B">
        <w:rPr>
          <w:rFonts w:ascii="Arial Narrow" w:hAnsi="Arial Narrow"/>
        </w:rPr>
        <w:t xml:space="preserve"> para así lograr resultados y metas comunes en el cierre de brechas de acceso a servicios públicos universales de calidad y oportunidades de desarrollo económicas y productivas. </w:t>
      </w:r>
    </w:p>
    <w:p w14:paraId="355915E6" w14:textId="77777777" w:rsidR="00F91C81" w:rsidRPr="00F91C81" w:rsidRDefault="00F91C81" w:rsidP="00536B4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  <w:sz w:val="2"/>
          <w:szCs w:val="2"/>
        </w:rPr>
      </w:pPr>
    </w:p>
    <w:p w14:paraId="0D69E267" w14:textId="2C6C870F" w:rsidR="008B6D9E" w:rsidRDefault="006D144B" w:rsidP="00D47F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Finalmente, es preciso destacar que, e</w:t>
      </w:r>
      <w:r w:rsidR="00F91C81">
        <w:rPr>
          <w:rFonts w:ascii="Arial Narrow" w:hAnsi="Arial Narrow"/>
        </w:rPr>
        <w:t xml:space="preserve">n contribución a </w:t>
      </w:r>
      <w:r>
        <w:rPr>
          <w:rFonts w:ascii="Arial Narrow" w:hAnsi="Arial Narrow"/>
        </w:rPr>
        <w:t xml:space="preserve">los </w:t>
      </w:r>
      <w:r w:rsidR="00F91C81">
        <w:rPr>
          <w:rFonts w:ascii="Arial Narrow" w:hAnsi="Arial Narrow"/>
        </w:rPr>
        <w:t xml:space="preserve">resultados finales de la PNDIS, </w:t>
      </w:r>
      <w:r w:rsidR="00E42AA8">
        <w:rPr>
          <w:rFonts w:ascii="Arial Narrow" w:hAnsi="Arial Narrow"/>
        </w:rPr>
        <w:t>la identificación de los servicios de diversos sectores y niveles de gobierno, sus estándares de cumplimiento, indicadores de servicios y actividades para proveer los mismos, en el marco del proceso de actualización</w:t>
      </w:r>
      <w:r w:rsidR="001F5ADD">
        <w:rPr>
          <w:rFonts w:ascii="Arial Narrow" w:hAnsi="Arial Narrow"/>
        </w:rPr>
        <w:t xml:space="preserve"> de la citada Política Nacional</w:t>
      </w:r>
      <w:r w:rsidR="00E42AA8">
        <w:rPr>
          <w:rFonts w:ascii="Arial Narrow" w:hAnsi="Arial Narrow"/>
        </w:rPr>
        <w:t xml:space="preserve">; a su vez aportarán </w:t>
      </w:r>
      <w:r w:rsidR="001F5ADD">
        <w:rPr>
          <w:rFonts w:ascii="Arial Narrow" w:hAnsi="Arial Narrow"/>
        </w:rPr>
        <w:t>al ejercicio de la rectoría y gobernanza para detonar de manera articulada los resultados finales previstos.</w:t>
      </w:r>
    </w:p>
    <w:p w14:paraId="276855EA" w14:textId="68B4BE0F" w:rsidR="003E4147" w:rsidRPr="003E4147" w:rsidRDefault="003E4147" w:rsidP="00D47F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" w:hAnsi="Arial" w:cs="Arial"/>
        </w:rPr>
      </w:pPr>
    </w:p>
    <w:p w14:paraId="78EC2D4C" w14:textId="77777777" w:rsidR="003E4147" w:rsidRPr="00536B4F" w:rsidRDefault="003E4147" w:rsidP="00D47F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 Narrow" w:hAnsi="Arial Narrow"/>
        </w:rPr>
      </w:pPr>
    </w:p>
    <w:sectPr w:rsidR="003E4147" w:rsidRPr="00536B4F" w:rsidSect="00A202C1">
      <w:headerReference w:type="first" r:id="rId8"/>
      <w:footerReference w:type="first" r:id="rId9"/>
      <w:pgSz w:w="11906" w:h="16838"/>
      <w:pgMar w:top="1560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16C68" w14:textId="77777777" w:rsidR="00825EA4" w:rsidRDefault="00825EA4" w:rsidP="0027482E">
      <w:pPr>
        <w:spacing w:after="0" w:line="240" w:lineRule="auto"/>
      </w:pPr>
      <w:r>
        <w:separator/>
      </w:r>
    </w:p>
  </w:endnote>
  <w:endnote w:type="continuationSeparator" w:id="0">
    <w:p w14:paraId="2BFD515E" w14:textId="77777777" w:rsidR="00825EA4" w:rsidRDefault="00825EA4" w:rsidP="0027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692329"/>
      <w:docPartObj>
        <w:docPartGallery w:val="Page Numbers (Bottom of Page)"/>
        <w:docPartUnique/>
      </w:docPartObj>
    </w:sdtPr>
    <w:sdtEndPr/>
    <w:sdtContent>
      <w:p w14:paraId="4867B191" w14:textId="64ADB83C" w:rsidR="00A202C1" w:rsidRDefault="00A202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0AE" w:rsidRPr="00BA00AE">
          <w:rPr>
            <w:noProof/>
            <w:lang w:val="es-ES"/>
          </w:rPr>
          <w:t>1</w:t>
        </w:r>
        <w:r>
          <w:fldChar w:fldCharType="end"/>
        </w:r>
      </w:p>
    </w:sdtContent>
  </w:sdt>
  <w:p w14:paraId="6249DCA0" w14:textId="77777777" w:rsidR="00A202C1" w:rsidRDefault="00A20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88F07" w14:textId="77777777" w:rsidR="00825EA4" w:rsidRDefault="00825EA4" w:rsidP="0027482E">
      <w:pPr>
        <w:spacing w:after="0" w:line="240" w:lineRule="auto"/>
      </w:pPr>
      <w:r>
        <w:separator/>
      </w:r>
    </w:p>
  </w:footnote>
  <w:footnote w:type="continuationSeparator" w:id="0">
    <w:p w14:paraId="3B66DE39" w14:textId="77777777" w:rsidR="00825EA4" w:rsidRDefault="00825EA4" w:rsidP="0027482E">
      <w:pPr>
        <w:spacing w:after="0" w:line="240" w:lineRule="auto"/>
      </w:pPr>
      <w:r>
        <w:continuationSeparator/>
      </w:r>
    </w:p>
  </w:footnote>
  <w:footnote w:id="1">
    <w:p w14:paraId="23182EF1" w14:textId="37DDD9CC" w:rsidR="00CD3C40" w:rsidRPr="002067A2" w:rsidRDefault="00CD3C40">
      <w:pPr>
        <w:pStyle w:val="Textonotapie"/>
        <w:rPr>
          <w:rFonts w:ascii="Arial Narrow" w:hAnsi="Arial Narrow"/>
          <w:sz w:val="18"/>
          <w:szCs w:val="18"/>
        </w:rPr>
      </w:pPr>
      <w:r w:rsidRPr="00C001D3">
        <w:rPr>
          <w:rStyle w:val="Refdenotaalpie"/>
          <w:rFonts w:ascii="Arial Narrow" w:hAnsi="Arial Narrow"/>
          <w:sz w:val="18"/>
          <w:szCs w:val="18"/>
        </w:rPr>
        <w:footnoteRef/>
      </w:r>
      <w:r w:rsidRPr="00C001D3">
        <w:rPr>
          <w:rFonts w:ascii="Arial Narrow" w:hAnsi="Arial Narrow"/>
          <w:sz w:val="18"/>
          <w:szCs w:val="18"/>
        </w:rPr>
        <w:t xml:space="preserve"> </w:t>
      </w:r>
      <w:r w:rsidRPr="002067A2">
        <w:rPr>
          <w:rFonts w:ascii="Arial Narrow" w:hAnsi="Arial Narrow"/>
          <w:sz w:val="18"/>
          <w:szCs w:val="18"/>
        </w:rPr>
        <w:t>Según el proyecto de actualización de la PNDIS.</w:t>
      </w:r>
    </w:p>
  </w:footnote>
  <w:footnote w:id="2">
    <w:p w14:paraId="0D8FF82B" w14:textId="0D25B182" w:rsidR="00F44C91" w:rsidRPr="002067A2" w:rsidRDefault="00F44C91">
      <w:pPr>
        <w:pStyle w:val="Textonotapie"/>
        <w:rPr>
          <w:rFonts w:ascii="Arial Narrow" w:hAnsi="Arial Narrow"/>
          <w:sz w:val="18"/>
          <w:szCs w:val="18"/>
        </w:rPr>
      </w:pPr>
      <w:r w:rsidRPr="002067A2">
        <w:rPr>
          <w:rStyle w:val="Refdenotaalpie"/>
          <w:rFonts w:ascii="Arial Narrow" w:hAnsi="Arial Narrow"/>
          <w:sz w:val="18"/>
          <w:szCs w:val="18"/>
        </w:rPr>
        <w:footnoteRef/>
      </w:r>
      <w:r w:rsidRPr="002067A2">
        <w:rPr>
          <w:rFonts w:ascii="Arial Narrow" w:hAnsi="Arial Narrow"/>
          <w:sz w:val="18"/>
          <w:szCs w:val="18"/>
        </w:rPr>
        <w:t xml:space="preserve"> Fuente: “Evolución de la Pobreza Monetaria 2009-2020. Informe Técnico”, Instituto Nacional de Estadística e Informática (INEI).</w:t>
      </w:r>
    </w:p>
  </w:footnote>
  <w:footnote w:id="3">
    <w:p w14:paraId="72D2E5D3" w14:textId="62170F7B" w:rsidR="002067A2" w:rsidRPr="002067A2" w:rsidRDefault="002067A2">
      <w:pPr>
        <w:pStyle w:val="Textonotapie"/>
        <w:rPr>
          <w:rFonts w:ascii="Arial Narrow" w:hAnsi="Arial Narrow"/>
          <w:sz w:val="18"/>
          <w:szCs w:val="18"/>
        </w:rPr>
      </w:pPr>
      <w:r w:rsidRPr="002067A2">
        <w:rPr>
          <w:rStyle w:val="Refdenotaalpie"/>
          <w:rFonts w:ascii="Arial Narrow" w:hAnsi="Arial Narrow"/>
          <w:sz w:val="18"/>
          <w:szCs w:val="18"/>
        </w:rPr>
        <w:footnoteRef/>
      </w:r>
      <w:r w:rsidRPr="002067A2">
        <w:rPr>
          <w:rFonts w:ascii="Arial Narrow" w:hAnsi="Arial Narrow"/>
          <w:sz w:val="18"/>
          <w:szCs w:val="18"/>
        </w:rPr>
        <w:t xml:space="preserve"> Ídem.</w:t>
      </w:r>
    </w:p>
  </w:footnote>
  <w:footnote w:id="4">
    <w:p w14:paraId="0EF9B551" w14:textId="32D9E5BA" w:rsidR="002067A2" w:rsidRPr="002067A2" w:rsidRDefault="002067A2">
      <w:pPr>
        <w:pStyle w:val="Textonotapie"/>
        <w:rPr>
          <w:rFonts w:ascii="Arial Narrow" w:hAnsi="Arial Narrow"/>
          <w:sz w:val="18"/>
          <w:szCs w:val="18"/>
        </w:rPr>
      </w:pPr>
      <w:r w:rsidRPr="002067A2">
        <w:rPr>
          <w:rStyle w:val="Refdenotaalpie"/>
          <w:rFonts w:ascii="Arial Narrow" w:hAnsi="Arial Narrow"/>
          <w:sz w:val="18"/>
          <w:szCs w:val="18"/>
        </w:rPr>
        <w:footnoteRef/>
      </w:r>
      <w:r w:rsidRPr="002067A2">
        <w:rPr>
          <w:rFonts w:ascii="Arial Narrow" w:hAnsi="Arial Narrow"/>
          <w:sz w:val="18"/>
          <w:szCs w:val="18"/>
        </w:rPr>
        <w:t xml:space="preserve"> Fuente: “</w:t>
      </w:r>
      <w:r>
        <w:rPr>
          <w:rFonts w:ascii="Arial Narrow" w:hAnsi="Arial Narrow"/>
          <w:sz w:val="18"/>
          <w:szCs w:val="18"/>
        </w:rPr>
        <w:t>Desarrollo Infantil Temprano en niñas y niños menores de 6 años de edad. ENDES 2020</w:t>
      </w:r>
      <w:r w:rsidRPr="002067A2">
        <w:rPr>
          <w:rFonts w:ascii="Arial Narrow" w:hAnsi="Arial Narrow"/>
          <w:sz w:val="18"/>
          <w:szCs w:val="18"/>
        </w:rPr>
        <w:t>”, INEI</w:t>
      </w:r>
      <w:r>
        <w:rPr>
          <w:rFonts w:ascii="Arial Narrow" w:hAnsi="Arial Narrow"/>
          <w:sz w:val="18"/>
          <w:szCs w:val="18"/>
        </w:rPr>
        <w:t>.</w:t>
      </w:r>
    </w:p>
  </w:footnote>
  <w:footnote w:id="5">
    <w:p w14:paraId="45EC74A6" w14:textId="671E7D7C" w:rsidR="002067A2" w:rsidRPr="002067A2" w:rsidRDefault="002067A2">
      <w:pPr>
        <w:pStyle w:val="Textonotapie"/>
        <w:rPr>
          <w:rFonts w:ascii="Arial Narrow" w:hAnsi="Arial Narrow"/>
          <w:sz w:val="18"/>
          <w:szCs w:val="18"/>
        </w:rPr>
      </w:pPr>
      <w:r w:rsidRPr="002067A2">
        <w:rPr>
          <w:rStyle w:val="Refdenotaalpie"/>
          <w:rFonts w:ascii="Arial Narrow" w:hAnsi="Arial Narrow"/>
          <w:sz w:val="18"/>
          <w:szCs w:val="18"/>
        </w:rPr>
        <w:footnoteRef/>
      </w:r>
      <w:r w:rsidRPr="002067A2">
        <w:rPr>
          <w:rFonts w:ascii="Arial Narrow" w:hAnsi="Arial Narrow"/>
          <w:sz w:val="18"/>
          <w:szCs w:val="18"/>
        </w:rPr>
        <w:t xml:space="preserve"> Ídem.</w:t>
      </w:r>
    </w:p>
  </w:footnote>
  <w:footnote w:id="6">
    <w:p w14:paraId="60169852" w14:textId="65C2C519" w:rsidR="002067A2" w:rsidRPr="002067A2" w:rsidRDefault="002067A2" w:rsidP="0050587F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2067A2">
        <w:rPr>
          <w:rStyle w:val="Refdenotaalpie"/>
          <w:rFonts w:ascii="Arial Narrow" w:hAnsi="Arial Narrow"/>
          <w:sz w:val="18"/>
          <w:szCs w:val="18"/>
        </w:rPr>
        <w:footnoteRef/>
      </w:r>
      <w:r w:rsidRPr="002067A2">
        <w:rPr>
          <w:rFonts w:ascii="Arial Narrow" w:hAnsi="Arial Narrow"/>
          <w:sz w:val="18"/>
          <w:szCs w:val="18"/>
        </w:rPr>
        <w:t xml:space="preserve"> Ídem.</w:t>
      </w:r>
    </w:p>
  </w:footnote>
  <w:footnote w:id="7">
    <w:p w14:paraId="1CF61748" w14:textId="77777777" w:rsidR="00131751" w:rsidRPr="00C001D3" w:rsidRDefault="00131751" w:rsidP="0050587F">
      <w:pPr>
        <w:pStyle w:val="Textonotapie"/>
        <w:jc w:val="both"/>
        <w:rPr>
          <w:rFonts w:ascii="Arial Narrow" w:hAnsi="Arial Narrow"/>
          <w:sz w:val="18"/>
          <w:szCs w:val="18"/>
          <w:lang w:val="es-ES"/>
        </w:rPr>
      </w:pPr>
      <w:r w:rsidRPr="00C001D3">
        <w:rPr>
          <w:rStyle w:val="Refdenotaalpie"/>
          <w:rFonts w:ascii="Arial Narrow" w:hAnsi="Arial Narrow"/>
          <w:sz w:val="18"/>
          <w:szCs w:val="18"/>
        </w:rPr>
        <w:footnoteRef/>
      </w:r>
      <w:r w:rsidRPr="00C001D3">
        <w:rPr>
          <w:rFonts w:ascii="Arial Narrow" w:hAnsi="Arial Narrow"/>
          <w:sz w:val="18"/>
          <w:szCs w:val="18"/>
        </w:rPr>
        <w:t xml:space="preserve"> Asignaciones Presupuestarias que No Resultan en Productos.</w:t>
      </w:r>
    </w:p>
  </w:footnote>
  <w:footnote w:id="8">
    <w:p w14:paraId="50C6FFCB" w14:textId="567DD575" w:rsidR="002067A2" w:rsidRPr="002067A2" w:rsidRDefault="002067A2" w:rsidP="0050587F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2067A2">
        <w:rPr>
          <w:rStyle w:val="Refdenotaalpie"/>
          <w:rFonts w:ascii="Arial Narrow" w:hAnsi="Arial Narrow"/>
          <w:sz w:val="18"/>
          <w:szCs w:val="18"/>
        </w:rPr>
        <w:footnoteRef/>
      </w:r>
      <w:r w:rsidRPr="002067A2">
        <w:rPr>
          <w:rFonts w:ascii="Arial Narrow" w:hAnsi="Arial Narrow"/>
          <w:sz w:val="18"/>
          <w:szCs w:val="18"/>
        </w:rPr>
        <w:t xml:space="preserve"> La información presupuestal consignada para los Ejes de la PNDIS </w:t>
      </w:r>
      <w:r>
        <w:rPr>
          <w:rFonts w:ascii="Arial Narrow" w:hAnsi="Arial Narrow"/>
          <w:sz w:val="18"/>
          <w:szCs w:val="18"/>
        </w:rPr>
        <w:t>fue</w:t>
      </w:r>
      <w:r w:rsidRPr="002067A2">
        <w:rPr>
          <w:rFonts w:ascii="Arial Narrow" w:hAnsi="Arial Narrow"/>
          <w:sz w:val="18"/>
          <w:szCs w:val="18"/>
        </w:rPr>
        <w:t xml:space="preserve"> obtenida de la Plataforma </w:t>
      </w:r>
      <w:proofErr w:type="spellStart"/>
      <w:r w:rsidRPr="002067A2">
        <w:rPr>
          <w:rFonts w:ascii="Arial Narrow" w:hAnsi="Arial Narrow"/>
          <w:sz w:val="18"/>
          <w:szCs w:val="18"/>
        </w:rPr>
        <w:t>REDinforma</w:t>
      </w:r>
      <w:proofErr w:type="spellEnd"/>
      <w:r w:rsidRPr="002067A2">
        <w:rPr>
          <w:rFonts w:ascii="Arial Narrow" w:hAnsi="Arial Narrow"/>
          <w:sz w:val="18"/>
          <w:szCs w:val="18"/>
        </w:rPr>
        <w:t xml:space="preserve"> del MIDIS, conforme consta en el siguiente enlace: </w:t>
      </w:r>
      <w:hyperlink r:id="rId1" w:history="1">
        <w:r w:rsidRPr="002C1127">
          <w:rPr>
            <w:rStyle w:val="Hipervnculo"/>
            <w:rFonts w:ascii="Arial Narrow" w:hAnsi="Arial Narrow"/>
            <w:sz w:val="18"/>
            <w:szCs w:val="18"/>
          </w:rPr>
          <w:t>http://sdv.midis.gob.pe/RedInforma/Reporte/Reporte/10</w:t>
        </w:r>
      </w:hyperlink>
      <w:r>
        <w:rPr>
          <w:rFonts w:ascii="Arial Narrow" w:hAnsi="Arial Narrow"/>
          <w:sz w:val="18"/>
          <w:szCs w:val="18"/>
        </w:rPr>
        <w:t xml:space="preserve"> </w:t>
      </w:r>
    </w:p>
  </w:footnote>
  <w:footnote w:id="9">
    <w:p w14:paraId="33DC2033" w14:textId="49212D9C" w:rsidR="002067A2" w:rsidRPr="0050587F" w:rsidRDefault="002067A2" w:rsidP="0050587F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50587F">
        <w:rPr>
          <w:rStyle w:val="Refdenotaalpie"/>
          <w:rFonts w:ascii="Arial Narrow" w:hAnsi="Arial Narrow"/>
          <w:sz w:val="18"/>
          <w:szCs w:val="18"/>
        </w:rPr>
        <w:footnoteRef/>
      </w:r>
      <w:r w:rsidRPr="0050587F">
        <w:rPr>
          <w:rFonts w:ascii="Arial Narrow" w:hAnsi="Arial Narrow"/>
          <w:sz w:val="18"/>
          <w:szCs w:val="18"/>
        </w:rPr>
        <w:t xml:space="preserve"> </w:t>
      </w:r>
      <w:r w:rsidR="0050587F" w:rsidRPr="0050587F">
        <w:rPr>
          <w:rFonts w:ascii="Arial Narrow" w:hAnsi="Arial Narrow"/>
          <w:sz w:val="18"/>
          <w:szCs w:val="18"/>
        </w:rPr>
        <w:t>Fuente: Estadística de la Calidad Educativa (ESCALE), Ministerio de Educación (MINEDU).</w:t>
      </w:r>
    </w:p>
  </w:footnote>
  <w:footnote w:id="10">
    <w:p w14:paraId="06D99600" w14:textId="3DC3D2DC" w:rsidR="0050587F" w:rsidRDefault="0050587F" w:rsidP="0050587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067A2">
        <w:rPr>
          <w:rFonts w:ascii="Arial Narrow" w:hAnsi="Arial Narrow"/>
          <w:sz w:val="18"/>
          <w:szCs w:val="18"/>
        </w:rPr>
        <w:t xml:space="preserve">La información presupuestal consignada para los Ejes de la PNDIS </w:t>
      </w:r>
      <w:r>
        <w:rPr>
          <w:rFonts w:ascii="Arial Narrow" w:hAnsi="Arial Narrow"/>
          <w:sz w:val="18"/>
          <w:szCs w:val="18"/>
        </w:rPr>
        <w:t>fue</w:t>
      </w:r>
      <w:r w:rsidRPr="002067A2">
        <w:rPr>
          <w:rFonts w:ascii="Arial Narrow" w:hAnsi="Arial Narrow"/>
          <w:sz w:val="18"/>
          <w:szCs w:val="18"/>
        </w:rPr>
        <w:t xml:space="preserve"> obtenida de la Plataforma </w:t>
      </w:r>
      <w:proofErr w:type="spellStart"/>
      <w:r w:rsidRPr="002067A2">
        <w:rPr>
          <w:rFonts w:ascii="Arial Narrow" w:hAnsi="Arial Narrow"/>
          <w:sz w:val="18"/>
          <w:szCs w:val="18"/>
        </w:rPr>
        <w:t>REDinforma</w:t>
      </w:r>
      <w:proofErr w:type="spellEnd"/>
      <w:r w:rsidRPr="002067A2">
        <w:rPr>
          <w:rFonts w:ascii="Arial Narrow" w:hAnsi="Arial Narrow"/>
          <w:sz w:val="18"/>
          <w:szCs w:val="18"/>
        </w:rPr>
        <w:t xml:space="preserve"> del MIDIS, conforme consta en el siguiente enlace: </w:t>
      </w:r>
      <w:hyperlink r:id="rId2" w:history="1">
        <w:r w:rsidRPr="002C1127">
          <w:rPr>
            <w:rStyle w:val="Hipervnculo"/>
            <w:rFonts w:ascii="Arial Narrow" w:hAnsi="Arial Narrow"/>
            <w:sz w:val="18"/>
            <w:szCs w:val="18"/>
          </w:rPr>
          <w:t>http://sdv.midis.gob.pe/RedInforma/Reporte/Reporte/10</w:t>
        </w:r>
      </w:hyperlink>
    </w:p>
  </w:footnote>
  <w:footnote w:id="11">
    <w:p w14:paraId="6EC6B9FE" w14:textId="12B7D072" w:rsidR="0050587F" w:rsidRPr="0050587F" w:rsidRDefault="0050587F" w:rsidP="0050587F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50587F">
        <w:rPr>
          <w:rStyle w:val="Refdenotaalpie"/>
          <w:rFonts w:ascii="Arial Narrow" w:hAnsi="Arial Narrow"/>
          <w:sz w:val="18"/>
          <w:szCs w:val="18"/>
        </w:rPr>
        <w:footnoteRef/>
      </w:r>
      <w:r w:rsidRPr="0050587F">
        <w:rPr>
          <w:rFonts w:ascii="Arial Narrow" w:hAnsi="Arial Narrow"/>
          <w:sz w:val="18"/>
          <w:szCs w:val="18"/>
        </w:rPr>
        <w:t xml:space="preserve"> Fuente: Reporte de Seguimiento del Plan Estratégico Sectorial Multianual (PESEM) Año 2020 del MIDIS.</w:t>
      </w:r>
    </w:p>
  </w:footnote>
  <w:footnote w:id="12">
    <w:p w14:paraId="639D18C8" w14:textId="17E2BB22" w:rsidR="0050587F" w:rsidRPr="0050587F" w:rsidRDefault="0050587F" w:rsidP="0050587F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50587F">
        <w:rPr>
          <w:rStyle w:val="Refdenotaalpie"/>
          <w:rFonts w:ascii="Arial Narrow" w:hAnsi="Arial Narrow"/>
          <w:sz w:val="18"/>
          <w:szCs w:val="18"/>
        </w:rPr>
        <w:footnoteRef/>
      </w:r>
      <w:r w:rsidRPr="0050587F">
        <w:rPr>
          <w:rFonts w:ascii="Arial Narrow" w:hAnsi="Arial Narrow"/>
          <w:sz w:val="18"/>
          <w:szCs w:val="18"/>
        </w:rPr>
        <w:t xml:space="preserve"> Fuente: Informe N° D000023-2021-MIDIS-DS de la Dirección de Seguimiento del MIDIS.</w:t>
      </w:r>
    </w:p>
  </w:footnote>
  <w:footnote w:id="13">
    <w:p w14:paraId="7B0B2C89" w14:textId="631AB540" w:rsidR="0050587F" w:rsidRDefault="0050587F" w:rsidP="0050587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067A2">
        <w:rPr>
          <w:rFonts w:ascii="Arial Narrow" w:hAnsi="Arial Narrow"/>
          <w:sz w:val="18"/>
          <w:szCs w:val="18"/>
        </w:rPr>
        <w:t xml:space="preserve">La información presupuestal consignada para los Ejes de la PNDIS </w:t>
      </w:r>
      <w:r>
        <w:rPr>
          <w:rFonts w:ascii="Arial Narrow" w:hAnsi="Arial Narrow"/>
          <w:sz w:val="18"/>
          <w:szCs w:val="18"/>
        </w:rPr>
        <w:t>fue</w:t>
      </w:r>
      <w:r w:rsidRPr="002067A2">
        <w:rPr>
          <w:rFonts w:ascii="Arial Narrow" w:hAnsi="Arial Narrow"/>
          <w:sz w:val="18"/>
          <w:szCs w:val="18"/>
        </w:rPr>
        <w:t xml:space="preserve"> obtenida de la Plataforma </w:t>
      </w:r>
      <w:proofErr w:type="spellStart"/>
      <w:r w:rsidRPr="002067A2">
        <w:rPr>
          <w:rFonts w:ascii="Arial Narrow" w:hAnsi="Arial Narrow"/>
          <w:sz w:val="18"/>
          <w:szCs w:val="18"/>
        </w:rPr>
        <w:t>REDinforma</w:t>
      </w:r>
      <w:proofErr w:type="spellEnd"/>
      <w:r w:rsidRPr="002067A2">
        <w:rPr>
          <w:rFonts w:ascii="Arial Narrow" w:hAnsi="Arial Narrow"/>
          <w:sz w:val="18"/>
          <w:szCs w:val="18"/>
        </w:rPr>
        <w:t xml:space="preserve"> del MIDIS, conforme consta en el siguiente enlace: </w:t>
      </w:r>
      <w:hyperlink r:id="rId3" w:history="1">
        <w:r w:rsidRPr="002C1127">
          <w:rPr>
            <w:rStyle w:val="Hipervnculo"/>
            <w:rFonts w:ascii="Arial Narrow" w:hAnsi="Arial Narrow"/>
            <w:sz w:val="18"/>
            <w:szCs w:val="18"/>
          </w:rPr>
          <w:t>http://sdv.midis.gob.pe/RedInforma/Reporte/Reporte/10</w:t>
        </w:r>
      </w:hyperlink>
    </w:p>
  </w:footnote>
  <w:footnote w:id="14">
    <w:p w14:paraId="1F08E731" w14:textId="41F9D7FC" w:rsidR="0050587F" w:rsidRDefault="0050587F" w:rsidP="0050587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0587F">
        <w:rPr>
          <w:rFonts w:ascii="Arial Narrow" w:hAnsi="Arial Narrow"/>
          <w:sz w:val="18"/>
          <w:szCs w:val="18"/>
        </w:rPr>
        <w:t>Fuente: Informe N° D000023-2021-MIDIS-DS de la Dirección de Seguimiento del MIDIS.</w:t>
      </w:r>
    </w:p>
  </w:footnote>
  <w:footnote w:id="15">
    <w:p w14:paraId="2B9749C8" w14:textId="1D19A67B" w:rsidR="0050587F" w:rsidRDefault="0050587F" w:rsidP="0050587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0587F">
        <w:rPr>
          <w:rFonts w:ascii="Arial Narrow" w:hAnsi="Arial Narrow"/>
          <w:sz w:val="18"/>
          <w:szCs w:val="18"/>
        </w:rPr>
        <w:t>Fuente: Reporte de Seguimiento del Plan Estratégico Sectorial Multianual (PESEM) Año 2020 del MIDIS.</w:t>
      </w:r>
    </w:p>
  </w:footnote>
  <w:footnote w:id="16">
    <w:p w14:paraId="3C162D68" w14:textId="3D7BE35E" w:rsidR="0050587F" w:rsidRDefault="0050587F" w:rsidP="0050587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067A2">
        <w:rPr>
          <w:rFonts w:ascii="Arial Narrow" w:hAnsi="Arial Narrow"/>
          <w:sz w:val="18"/>
          <w:szCs w:val="18"/>
        </w:rPr>
        <w:t xml:space="preserve">La información presupuestal consignada para los Ejes de la PNDIS </w:t>
      </w:r>
      <w:r>
        <w:rPr>
          <w:rFonts w:ascii="Arial Narrow" w:hAnsi="Arial Narrow"/>
          <w:sz w:val="18"/>
          <w:szCs w:val="18"/>
        </w:rPr>
        <w:t>fue</w:t>
      </w:r>
      <w:r w:rsidRPr="002067A2">
        <w:rPr>
          <w:rFonts w:ascii="Arial Narrow" w:hAnsi="Arial Narrow"/>
          <w:sz w:val="18"/>
          <w:szCs w:val="18"/>
        </w:rPr>
        <w:t xml:space="preserve"> obtenida de la Plataforma </w:t>
      </w:r>
      <w:proofErr w:type="spellStart"/>
      <w:r w:rsidRPr="002067A2">
        <w:rPr>
          <w:rFonts w:ascii="Arial Narrow" w:hAnsi="Arial Narrow"/>
          <w:sz w:val="18"/>
          <w:szCs w:val="18"/>
        </w:rPr>
        <w:t>REDinforma</w:t>
      </w:r>
      <w:proofErr w:type="spellEnd"/>
      <w:r w:rsidRPr="002067A2">
        <w:rPr>
          <w:rFonts w:ascii="Arial Narrow" w:hAnsi="Arial Narrow"/>
          <w:sz w:val="18"/>
          <w:szCs w:val="18"/>
        </w:rPr>
        <w:t xml:space="preserve"> del MIDIS, conforme consta en el siguiente enlace: </w:t>
      </w:r>
      <w:hyperlink r:id="rId4" w:history="1">
        <w:r w:rsidRPr="002C1127">
          <w:rPr>
            <w:rStyle w:val="Hipervnculo"/>
            <w:rFonts w:ascii="Arial Narrow" w:hAnsi="Arial Narrow"/>
            <w:sz w:val="18"/>
            <w:szCs w:val="18"/>
          </w:rPr>
          <w:t>http://sdv.midis.gob.pe/RedInforma/Reporte/Reporte/10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F2215" w14:textId="01DD6F20" w:rsidR="00A202C1" w:rsidRPr="006F5CBD" w:rsidRDefault="00BB3D36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EDF47" wp14:editId="0C50ADF2">
          <wp:simplePos x="0" y="0"/>
          <wp:positionH relativeFrom="margin">
            <wp:posOffset>-62230</wp:posOffset>
          </wp:positionH>
          <wp:positionV relativeFrom="paragraph">
            <wp:posOffset>-182880</wp:posOffset>
          </wp:positionV>
          <wp:extent cx="2123440" cy="424180"/>
          <wp:effectExtent l="0" t="0" r="0" b="0"/>
          <wp:wrapSquare wrapText="bothSides"/>
          <wp:docPr id="7" name="Imagen 6" descr="GRANSELLO color.p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BB978F-7A0B-4E00-B4D3-34452AFE30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GRANSELLO color.p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BB978F-7A0B-4E00-B4D3-34452AFE30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2C1" w:rsidRPr="006F5CBD">
      <w:rPr>
        <w:b/>
        <w:noProof/>
      </w:rPr>
      <w:drawing>
        <wp:anchor distT="0" distB="0" distL="114300" distR="114300" simplePos="0" relativeHeight="251659264" behindDoc="0" locked="0" layoutInCell="1" allowOverlap="1" wp14:anchorId="7199972E" wp14:editId="25CB66FF">
          <wp:simplePos x="0" y="0"/>
          <wp:positionH relativeFrom="margin">
            <wp:posOffset>4667250</wp:posOffset>
          </wp:positionH>
          <wp:positionV relativeFrom="paragraph">
            <wp:posOffset>-235585</wp:posOffset>
          </wp:positionV>
          <wp:extent cx="1080000" cy="450528"/>
          <wp:effectExtent l="0" t="0" r="0" b="6985"/>
          <wp:wrapSquare wrapText="bothSides"/>
          <wp:docPr id="2" name="Picture 4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A0FC65F-7936-48B7-83E9-7564FF0128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A0FC65F-7936-48B7-83E9-7564FF0128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15" t="28194" r="17092" b="26330"/>
                  <a:stretch/>
                </pic:blipFill>
                <pic:spPr>
                  <a:xfrm>
                    <a:off x="0" y="0"/>
                    <a:ext cx="1080000" cy="450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D36">
      <w:rPr>
        <w:noProof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04E"/>
    <w:multiLevelType w:val="hybridMultilevel"/>
    <w:tmpl w:val="A13AB45C"/>
    <w:lvl w:ilvl="0" w:tplc="E17847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F5496" w:themeColor="accent1" w:themeShade="BF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4BB9"/>
    <w:multiLevelType w:val="hybridMultilevel"/>
    <w:tmpl w:val="B13CCB3E"/>
    <w:lvl w:ilvl="0" w:tplc="82C2D1A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F5496" w:themeColor="accent1" w:themeShade="B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59F6"/>
    <w:multiLevelType w:val="hybridMultilevel"/>
    <w:tmpl w:val="FA16C7AC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714938"/>
    <w:multiLevelType w:val="hybridMultilevel"/>
    <w:tmpl w:val="BD10AD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B49DF"/>
    <w:multiLevelType w:val="hybridMultilevel"/>
    <w:tmpl w:val="DE4E0DA2"/>
    <w:lvl w:ilvl="0" w:tplc="6068EE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63090"/>
    <w:multiLevelType w:val="multilevel"/>
    <w:tmpl w:val="2526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7B7B7B" w:themeColor="accent3" w:themeShade="BF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F7"/>
    <w:rsid w:val="00062A35"/>
    <w:rsid w:val="00077377"/>
    <w:rsid w:val="00111019"/>
    <w:rsid w:val="001149C0"/>
    <w:rsid w:val="00131751"/>
    <w:rsid w:val="00133647"/>
    <w:rsid w:val="001351BF"/>
    <w:rsid w:val="00147F6C"/>
    <w:rsid w:val="0016166B"/>
    <w:rsid w:val="0018407B"/>
    <w:rsid w:val="00186F80"/>
    <w:rsid w:val="001B7187"/>
    <w:rsid w:val="001F5ADD"/>
    <w:rsid w:val="002067A2"/>
    <w:rsid w:val="00232E77"/>
    <w:rsid w:val="00237156"/>
    <w:rsid w:val="0027482E"/>
    <w:rsid w:val="002E532C"/>
    <w:rsid w:val="00314C68"/>
    <w:rsid w:val="00346488"/>
    <w:rsid w:val="00365D67"/>
    <w:rsid w:val="003E4147"/>
    <w:rsid w:val="00405FB1"/>
    <w:rsid w:val="00407528"/>
    <w:rsid w:val="0042708E"/>
    <w:rsid w:val="004468FC"/>
    <w:rsid w:val="004507EA"/>
    <w:rsid w:val="00491D5F"/>
    <w:rsid w:val="004B1E72"/>
    <w:rsid w:val="004C52FE"/>
    <w:rsid w:val="004F1645"/>
    <w:rsid w:val="004F5A58"/>
    <w:rsid w:val="0050587F"/>
    <w:rsid w:val="0051561A"/>
    <w:rsid w:val="00536B4F"/>
    <w:rsid w:val="00565AD4"/>
    <w:rsid w:val="005733D6"/>
    <w:rsid w:val="0058792D"/>
    <w:rsid w:val="005A573A"/>
    <w:rsid w:val="005B675B"/>
    <w:rsid w:val="005F37AD"/>
    <w:rsid w:val="0062263D"/>
    <w:rsid w:val="006379C1"/>
    <w:rsid w:val="0064333D"/>
    <w:rsid w:val="00647E3B"/>
    <w:rsid w:val="00683526"/>
    <w:rsid w:val="006C4818"/>
    <w:rsid w:val="006D144B"/>
    <w:rsid w:val="006F5CBD"/>
    <w:rsid w:val="00717017"/>
    <w:rsid w:val="00727934"/>
    <w:rsid w:val="00734DBC"/>
    <w:rsid w:val="00771CE6"/>
    <w:rsid w:val="007A6093"/>
    <w:rsid w:val="007C371F"/>
    <w:rsid w:val="007C679A"/>
    <w:rsid w:val="00825EA4"/>
    <w:rsid w:val="00856DB4"/>
    <w:rsid w:val="00877375"/>
    <w:rsid w:val="00882F42"/>
    <w:rsid w:val="0089448E"/>
    <w:rsid w:val="008A0940"/>
    <w:rsid w:val="008B6D9E"/>
    <w:rsid w:val="008C68A8"/>
    <w:rsid w:val="008E61DA"/>
    <w:rsid w:val="009141B1"/>
    <w:rsid w:val="00946A03"/>
    <w:rsid w:val="00973386"/>
    <w:rsid w:val="00974AC8"/>
    <w:rsid w:val="00975765"/>
    <w:rsid w:val="009915BE"/>
    <w:rsid w:val="009C7366"/>
    <w:rsid w:val="009E2F6B"/>
    <w:rsid w:val="009F3012"/>
    <w:rsid w:val="00A202C1"/>
    <w:rsid w:val="00A2766C"/>
    <w:rsid w:val="00A74EAF"/>
    <w:rsid w:val="00AC2574"/>
    <w:rsid w:val="00B75C66"/>
    <w:rsid w:val="00B95EEA"/>
    <w:rsid w:val="00B96E49"/>
    <w:rsid w:val="00BA00AE"/>
    <w:rsid w:val="00BB3D36"/>
    <w:rsid w:val="00BF0714"/>
    <w:rsid w:val="00C001D3"/>
    <w:rsid w:val="00C00D97"/>
    <w:rsid w:val="00C713CE"/>
    <w:rsid w:val="00C81D84"/>
    <w:rsid w:val="00C842FD"/>
    <w:rsid w:val="00CD3C40"/>
    <w:rsid w:val="00D00FD9"/>
    <w:rsid w:val="00D47F18"/>
    <w:rsid w:val="00DD6AA9"/>
    <w:rsid w:val="00E032A9"/>
    <w:rsid w:val="00E266E1"/>
    <w:rsid w:val="00E426B7"/>
    <w:rsid w:val="00E42AA8"/>
    <w:rsid w:val="00E450F7"/>
    <w:rsid w:val="00E7613B"/>
    <w:rsid w:val="00EF7C04"/>
    <w:rsid w:val="00F1240F"/>
    <w:rsid w:val="00F15A67"/>
    <w:rsid w:val="00F44C91"/>
    <w:rsid w:val="00F86F98"/>
    <w:rsid w:val="00F91C81"/>
    <w:rsid w:val="00F97844"/>
    <w:rsid w:val="00FC0CA2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5F1765"/>
  <w15:chartTrackingRefBased/>
  <w15:docId w15:val="{4AAA5743-C352-433F-8EB2-05DA9517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F7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Cita Pie de Página,titulo,Iz - Párrafo de lista,Sivsa Parrafo,Titulo de Fígura,Párrafo Normal,Lista 123,Lista vistosa - Énfasis 11,titulo 5,MAPA,Viñeta,TITULO A,Cuadro 2-1,paul2,SubPárrafo de lista,Footnote"/>
    <w:basedOn w:val="Normal"/>
    <w:link w:val="PrrafodelistaCar"/>
    <w:uiPriority w:val="34"/>
    <w:qFormat/>
    <w:rsid w:val="00E450F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Cita Pie de Página Car,titulo Car,Iz - Párrafo de lista Car,Sivsa Parrafo Car,Titulo de Fígura Car,Párrafo Normal Car,Lista 123 Car,Lista vistosa - Énfasis 11 Car,titulo 5 Car,MAPA Car,Viñeta Car"/>
    <w:basedOn w:val="Fuentedeprrafopredeter"/>
    <w:link w:val="Prrafodelista"/>
    <w:uiPriority w:val="34"/>
    <w:locked/>
    <w:rsid w:val="00E450F7"/>
    <w:rPr>
      <w:rFonts w:eastAsiaTheme="minorEastAsia"/>
      <w:lang w:eastAsia="es-PE"/>
    </w:rPr>
  </w:style>
  <w:style w:type="table" w:styleId="Tablaconcuadrcula">
    <w:name w:val="Table Grid"/>
    <w:basedOn w:val="Tablanormal"/>
    <w:uiPriority w:val="39"/>
    <w:rsid w:val="00E450F7"/>
    <w:pPr>
      <w:spacing w:after="0" w:line="240" w:lineRule="auto"/>
    </w:pPr>
    <w:rPr>
      <w:rFonts w:eastAsiaTheme="minorEastAsia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48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482E"/>
    <w:rPr>
      <w:rFonts w:eastAsiaTheme="minorEastAsia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7482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20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2C1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A20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2C1"/>
    <w:rPr>
      <w:rFonts w:eastAsiaTheme="minorEastAsia"/>
      <w:lang w:eastAsia="es-PE"/>
    </w:rPr>
  </w:style>
  <w:style w:type="character" w:styleId="Hipervnculo">
    <w:name w:val="Hyperlink"/>
    <w:basedOn w:val="Fuentedeprrafopredeter"/>
    <w:uiPriority w:val="99"/>
    <w:unhideWhenUsed/>
    <w:rsid w:val="001317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17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dv.midis.gob.pe/RedInforma/Reporte/Reporte/10" TargetMode="External"/><Relationship Id="rId2" Type="http://schemas.openxmlformats.org/officeDocument/2006/relationships/hyperlink" Target="http://sdv.midis.gob.pe/RedInforma/Reporte/Reporte/10" TargetMode="External"/><Relationship Id="rId1" Type="http://schemas.openxmlformats.org/officeDocument/2006/relationships/hyperlink" Target="http://sdv.midis.gob.pe/RedInforma/Reporte/Reporte/10" TargetMode="External"/><Relationship Id="rId4" Type="http://schemas.openxmlformats.org/officeDocument/2006/relationships/hyperlink" Target="http://sdv.midis.gob.pe/RedInforma/Reporte/Reporte/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CB6C-ABCA-40B3-935D-9069E365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DNSE - CEPLAN</dc:creator>
  <cp:keywords/>
  <dc:description/>
  <cp:lastModifiedBy>Martha Zully Vicente Castro</cp:lastModifiedBy>
  <cp:revision>2</cp:revision>
  <dcterms:created xsi:type="dcterms:W3CDTF">2021-07-17T00:36:00Z</dcterms:created>
  <dcterms:modified xsi:type="dcterms:W3CDTF">2021-07-17T00:36:00Z</dcterms:modified>
</cp:coreProperties>
</file>