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5FB6A" w14:textId="2B78B1E6" w:rsidR="00E450F7" w:rsidRPr="004C52FE" w:rsidRDefault="006C4818" w:rsidP="004507EA">
      <w:pPr>
        <w:jc w:val="center"/>
        <w:rPr>
          <w:rFonts w:ascii="Arial Narrow" w:hAnsi="Arial Narrow" w:cstheme="minorHAnsi"/>
          <w:b/>
          <w:color w:val="323E4F" w:themeColor="text2" w:themeShade="BF"/>
          <w:sz w:val="28"/>
          <w:szCs w:val="28"/>
        </w:rPr>
      </w:pPr>
      <w:r>
        <w:rPr>
          <w:rFonts w:ascii="Arial Narrow" w:hAnsi="Arial Narrow" w:cstheme="minorHAnsi"/>
          <w:b/>
          <w:color w:val="323E4F" w:themeColor="text2" w:themeShade="BF"/>
          <w:sz w:val="28"/>
          <w:szCs w:val="28"/>
        </w:rPr>
        <w:t>R</w:t>
      </w:r>
      <w:r w:rsidR="00E450F7" w:rsidRPr="004C52FE">
        <w:rPr>
          <w:rFonts w:ascii="Arial Narrow" w:hAnsi="Arial Narrow" w:cstheme="minorHAnsi"/>
          <w:b/>
          <w:color w:val="323E4F" w:themeColor="text2" w:themeShade="BF"/>
          <w:sz w:val="28"/>
          <w:szCs w:val="28"/>
        </w:rPr>
        <w:t>eporte de cumplimiento de políticas nacionales</w:t>
      </w:r>
    </w:p>
    <w:tbl>
      <w:tblPr>
        <w:tblStyle w:val="Tablaconcuadrcula"/>
        <w:tblW w:w="9130" w:type="dxa"/>
        <w:tblLook w:val="04A0" w:firstRow="1" w:lastRow="0" w:firstColumn="1" w:lastColumn="0" w:noHBand="0" w:noVBand="1"/>
      </w:tblPr>
      <w:tblGrid>
        <w:gridCol w:w="1972"/>
        <w:gridCol w:w="7158"/>
      </w:tblGrid>
      <w:tr w:rsidR="004B78A9" w:rsidRPr="004B78A9" w14:paraId="4FFF4CF7" w14:textId="77777777" w:rsidTr="006C4818">
        <w:trPr>
          <w:trHeight w:val="282"/>
        </w:trPr>
        <w:tc>
          <w:tcPr>
            <w:tcW w:w="1972" w:type="dxa"/>
            <w:vAlign w:val="center"/>
          </w:tcPr>
          <w:p w14:paraId="5B82EEF0" w14:textId="77777777" w:rsidR="00E450F7" w:rsidRPr="004B78A9" w:rsidRDefault="00E450F7" w:rsidP="00186F80">
            <w:pPr>
              <w:rPr>
                <w:rFonts w:ascii="Arial Narrow" w:hAnsi="Arial Narrow" w:cstheme="minorHAnsi"/>
                <w:b/>
              </w:rPr>
            </w:pPr>
            <w:r w:rsidRPr="004B78A9">
              <w:rPr>
                <w:rFonts w:ascii="Arial Narrow" w:hAnsi="Arial Narrow" w:cstheme="minorHAnsi"/>
                <w:b/>
              </w:rPr>
              <w:t>Política nacional</w:t>
            </w:r>
          </w:p>
        </w:tc>
        <w:tc>
          <w:tcPr>
            <w:tcW w:w="7158" w:type="dxa"/>
            <w:vAlign w:val="center"/>
          </w:tcPr>
          <w:p w14:paraId="491544DA" w14:textId="698A8863" w:rsidR="00E450F7" w:rsidRPr="004B78A9" w:rsidRDefault="000C4719" w:rsidP="00186F80">
            <w:pPr>
              <w:rPr>
                <w:rFonts w:ascii="Arial Narrow" w:hAnsi="Arial Narrow" w:cstheme="minorHAnsi"/>
              </w:rPr>
            </w:pPr>
            <w:r w:rsidRPr="004B78A9">
              <w:rPr>
                <w:rFonts w:ascii="Arial Narrow" w:hAnsi="Arial Narrow" w:cstheme="minorHAnsi"/>
              </w:rPr>
              <w:t xml:space="preserve">Plan Estratégico Nacional Exportador </w:t>
            </w:r>
            <w:r w:rsidR="006851FC">
              <w:rPr>
                <w:rFonts w:ascii="Arial Narrow" w:hAnsi="Arial Narrow" w:cstheme="minorHAnsi"/>
              </w:rPr>
              <w:t>(</w:t>
            </w:r>
            <w:r w:rsidRPr="004B78A9">
              <w:rPr>
                <w:rFonts w:ascii="Arial Narrow" w:hAnsi="Arial Narrow" w:cstheme="minorHAnsi"/>
              </w:rPr>
              <w:t>PENX</w:t>
            </w:r>
            <w:r w:rsidR="006851FC">
              <w:rPr>
                <w:rFonts w:ascii="Arial Narrow" w:hAnsi="Arial Narrow" w:cstheme="minorHAnsi"/>
              </w:rPr>
              <w:t>)</w:t>
            </w:r>
            <w:r w:rsidRPr="004B78A9">
              <w:rPr>
                <w:rFonts w:ascii="Arial Narrow" w:hAnsi="Arial Narrow" w:cstheme="minorHAnsi"/>
              </w:rPr>
              <w:t xml:space="preserve"> 2025</w:t>
            </w:r>
          </w:p>
        </w:tc>
      </w:tr>
      <w:tr w:rsidR="004B78A9" w:rsidRPr="004B78A9" w14:paraId="266EB6B7" w14:textId="77777777" w:rsidTr="006C4818">
        <w:trPr>
          <w:trHeight w:val="472"/>
        </w:trPr>
        <w:tc>
          <w:tcPr>
            <w:tcW w:w="1972" w:type="dxa"/>
            <w:vAlign w:val="center"/>
          </w:tcPr>
          <w:p w14:paraId="10387D8B" w14:textId="77777777" w:rsidR="00E450F7" w:rsidRPr="004B78A9" w:rsidRDefault="00E450F7" w:rsidP="00186F80">
            <w:pPr>
              <w:rPr>
                <w:rFonts w:ascii="Arial Narrow" w:hAnsi="Arial Narrow" w:cstheme="minorHAnsi"/>
                <w:b/>
              </w:rPr>
            </w:pPr>
            <w:r w:rsidRPr="004B78A9">
              <w:rPr>
                <w:rFonts w:ascii="Arial Narrow" w:hAnsi="Arial Narrow" w:cstheme="minorHAnsi"/>
                <w:b/>
              </w:rPr>
              <w:t>Ministerio rector o conductor</w:t>
            </w:r>
          </w:p>
        </w:tc>
        <w:tc>
          <w:tcPr>
            <w:tcW w:w="7158" w:type="dxa"/>
            <w:vAlign w:val="center"/>
          </w:tcPr>
          <w:p w14:paraId="623500DB" w14:textId="6604FE0E" w:rsidR="00E450F7" w:rsidRPr="004B78A9" w:rsidRDefault="000C4719" w:rsidP="00186F80">
            <w:pPr>
              <w:rPr>
                <w:rFonts w:ascii="Arial Narrow" w:hAnsi="Arial Narrow" w:cstheme="minorHAnsi"/>
              </w:rPr>
            </w:pPr>
            <w:r w:rsidRPr="004B78A9">
              <w:rPr>
                <w:rFonts w:ascii="Arial Narrow" w:hAnsi="Arial Narrow" w:cstheme="minorHAnsi"/>
              </w:rPr>
              <w:t>MINCETUR</w:t>
            </w:r>
          </w:p>
        </w:tc>
      </w:tr>
      <w:tr w:rsidR="004B78A9" w:rsidRPr="004B78A9" w14:paraId="0B539337" w14:textId="77777777" w:rsidTr="006C4818">
        <w:trPr>
          <w:trHeight w:val="282"/>
        </w:trPr>
        <w:tc>
          <w:tcPr>
            <w:tcW w:w="1972" w:type="dxa"/>
            <w:vAlign w:val="center"/>
          </w:tcPr>
          <w:p w14:paraId="00644634" w14:textId="77777777" w:rsidR="00E450F7" w:rsidRPr="004B78A9" w:rsidRDefault="00E450F7" w:rsidP="00186F80">
            <w:pPr>
              <w:rPr>
                <w:rFonts w:ascii="Arial Narrow" w:hAnsi="Arial Narrow" w:cstheme="minorHAnsi"/>
                <w:b/>
              </w:rPr>
            </w:pPr>
            <w:r w:rsidRPr="004B78A9">
              <w:rPr>
                <w:rFonts w:ascii="Arial Narrow" w:hAnsi="Arial Narrow" w:cstheme="minorHAnsi"/>
                <w:b/>
              </w:rPr>
              <w:t>Problema público</w:t>
            </w:r>
          </w:p>
        </w:tc>
        <w:tc>
          <w:tcPr>
            <w:tcW w:w="7158" w:type="dxa"/>
            <w:vAlign w:val="center"/>
          </w:tcPr>
          <w:p w14:paraId="21E5E374" w14:textId="5278D7E2" w:rsidR="00E450F7" w:rsidRPr="004B78A9" w:rsidRDefault="00B359B2" w:rsidP="00186F80">
            <w:pPr>
              <w:rPr>
                <w:rFonts w:ascii="Arial Narrow" w:hAnsi="Arial Narrow" w:cstheme="minorHAnsi"/>
              </w:rPr>
            </w:pPr>
            <w:r w:rsidRPr="004B78A9">
              <w:rPr>
                <w:rFonts w:ascii="Arial Narrow" w:hAnsi="Arial Narrow" w:cstheme="minorHAnsi"/>
              </w:rPr>
              <w:t>-</w:t>
            </w:r>
          </w:p>
        </w:tc>
      </w:tr>
      <w:tr w:rsidR="004B78A9" w:rsidRPr="004B78A9" w14:paraId="3B293F40" w14:textId="77777777" w:rsidTr="006C4818">
        <w:trPr>
          <w:trHeight w:val="282"/>
        </w:trPr>
        <w:tc>
          <w:tcPr>
            <w:tcW w:w="1972" w:type="dxa"/>
            <w:vAlign w:val="center"/>
          </w:tcPr>
          <w:p w14:paraId="7063DD17" w14:textId="77777777" w:rsidR="00E450F7" w:rsidRPr="004B78A9" w:rsidRDefault="00E450F7" w:rsidP="00186F80">
            <w:pPr>
              <w:rPr>
                <w:rFonts w:ascii="Arial Narrow" w:hAnsi="Arial Narrow" w:cstheme="minorHAnsi"/>
                <w:b/>
              </w:rPr>
            </w:pPr>
            <w:r w:rsidRPr="004B78A9">
              <w:rPr>
                <w:rFonts w:ascii="Arial Narrow" w:hAnsi="Arial Narrow" w:cstheme="minorHAnsi"/>
                <w:b/>
              </w:rPr>
              <w:t>Dispositivo legal</w:t>
            </w:r>
          </w:p>
        </w:tc>
        <w:tc>
          <w:tcPr>
            <w:tcW w:w="7158" w:type="dxa"/>
            <w:vAlign w:val="center"/>
          </w:tcPr>
          <w:p w14:paraId="4225B1F8" w14:textId="25836328" w:rsidR="00E450F7" w:rsidRPr="004B78A9" w:rsidRDefault="00B359B2" w:rsidP="00186F80">
            <w:pPr>
              <w:rPr>
                <w:rFonts w:ascii="Arial Narrow" w:hAnsi="Arial Narrow" w:cstheme="minorHAnsi"/>
              </w:rPr>
            </w:pPr>
            <w:r w:rsidRPr="004B78A9">
              <w:rPr>
                <w:rFonts w:ascii="Arial Narrow" w:hAnsi="Arial Narrow" w:cstheme="minorHAnsi"/>
              </w:rPr>
              <w:t>Resolución Ministerial N° 377-2015-MINCETUR</w:t>
            </w:r>
          </w:p>
        </w:tc>
      </w:tr>
    </w:tbl>
    <w:p w14:paraId="13C2B459" w14:textId="176E59CF" w:rsidR="00E450F7" w:rsidRPr="004C52FE" w:rsidRDefault="00E450F7" w:rsidP="00E450F7">
      <w:pPr>
        <w:rPr>
          <w:rFonts w:ascii="Arial Narrow" w:hAnsi="Arial Narrow" w:cstheme="minorHAnsi"/>
          <w:b/>
        </w:rPr>
      </w:pPr>
    </w:p>
    <w:p w14:paraId="7C59760F" w14:textId="66C035B7" w:rsidR="004507EA" w:rsidRPr="004C52FE" w:rsidRDefault="004507EA" w:rsidP="004507EA">
      <w:pPr>
        <w:pStyle w:val="Prrafodelista"/>
        <w:numPr>
          <w:ilvl w:val="0"/>
          <w:numId w:val="5"/>
        </w:numPr>
        <w:ind w:left="284" w:hanging="218"/>
        <w:rPr>
          <w:rFonts w:ascii="Arial Narrow" w:hAnsi="Arial Narrow" w:cstheme="minorHAnsi"/>
          <w:b/>
        </w:rPr>
      </w:pPr>
      <w:r w:rsidRPr="004C52FE">
        <w:rPr>
          <w:rFonts w:ascii="Arial Narrow" w:hAnsi="Arial Narrow" w:cstheme="minorHAnsi"/>
          <w:b/>
        </w:rPr>
        <w:t>Avance del cumplimiento de los objetivos prioritarios</w:t>
      </w:r>
    </w:p>
    <w:p w14:paraId="6954B685" w14:textId="2E8B5F6D" w:rsidR="004507EA" w:rsidRPr="004C52FE" w:rsidRDefault="00882F42" w:rsidP="004507EA">
      <w:pPr>
        <w:pBdr>
          <w:top w:val="nil"/>
          <w:left w:val="nil"/>
          <w:bottom w:val="nil"/>
          <w:right w:val="nil"/>
          <w:between w:val="nil"/>
        </w:pBdr>
        <w:spacing w:after="120" w:line="240" w:lineRule="auto"/>
        <w:ind w:left="284"/>
        <w:jc w:val="both"/>
        <w:rPr>
          <w:rFonts w:ascii="Arial Narrow" w:hAnsi="Arial Narrow"/>
          <w:color w:val="7030A0"/>
        </w:rPr>
      </w:pPr>
      <w:r w:rsidRPr="004C52FE">
        <w:rPr>
          <w:rFonts w:ascii="Arial Narrow" w:hAnsi="Arial Narrow"/>
          <w:b/>
          <w:bCs/>
        </w:rPr>
        <w:t>1</w:t>
      </w:r>
      <w:r w:rsidR="004507EA" w:rsidRPr="004C52FE">
        <w:rPr>
          <w:rFonts w:ascii="Arial Narrow" w:hAnsi="Arial Narrow"/>
          <w:b/>
          <w:bCs/>
        </w:rPr>
        <w:t xml:space="preserve">.1 </w:t>
      </w:r>
      <w:r w:rsidR="004F5A58" w:rsidRPr="004C52FE">
        <w:rPr>
          <w:rFonts w:ascii="Arial Narrow" w:hAnsi="Arial Narrow"/>
          <w:b/>
          <w:bCs/>
        </w:rPr>
        <w:t>Resultado</w:t>
      </w:r>
      <w:r w:rsidR="004507EA" w:rsidRPr="004C52FE">
        <w:rPr>
          <w:rFonts w:ascii="Arial Narrow" w:hAnsi="Arial Narrow"/>
          <w:b/>
          <w:bCs/>
        </w:rPr>
        <w:t xml:space="preserve"> general</w:t>
      </w:r>
      <w:r w:rsidRPr="004C52FE">
        <w:rPr>
          <w:rFonts w:ascii="Arial Narrow" w:hAnsi="Arial Narrow"/>
        </w:rPr>
        <w:t xml:space="preserve"> </w:t>
      </w:r>
    </w:p>
    <w:p w14:paraId="7D5DAA60" w14:textId="7A872B0C" w:rsidR="004B78A9" w:rsidRPr="004B78A9" w:rsidRDefault="004B78A9" w:rsidP="004B78A9">
      <w:pPr>
        <w:pBdr>
          <w:top w:val="nil"/>
          <w:left w:val="nil"/>
          <w:bottom w:val="nil"/>
          <w:right w:val="nil"/>
          <w:between w:val="nil"/>
        </w:pBdr>
        <w:spacing w:after="120" w:line="240" w:lineRule="auto"/>
        <w:ind w:left="567"/>
        <w:jc w:val="both"/>
        <w:rPr>
          <w:rFonts w:ascii="Arial Narrow" w:hAnsi="Arial Narrow"/>
        </w:rPr>
      </w:pPr>
      <w:r w:rsidRPr="004B78A9">
        <w:rPr>
          <w:rFonts w:ascii="Arial Narrow" w:hAnsi="Arial Narrow"/>
        </w:rPr>
        <w:t>En el 2020, el comercio exterior de bienes del Perú disminuyó 13,9% debido a la crisis sanitaria global. Las caídas estimadas del PBI global (-3.5%) y del comercio internacional de bienes (-8%) afectaron nuestras exportaciones (</w:t>
      </w:r>
      <w:bookmarkStart w:id="0" w:name="_GoBack"/>
      <w:bookmarkEnd w:id="0"/>
      <w:r w:rsidRPr="004B78A9">
        <w:rPr>
          <w:rFonts w:ascii="Arial Narrow" w:hAnsi="Arial Narrow"/>
        </w:rPr>
        <w:t>-12,3%), mientras que la retracción del PBI local (-11.1%) afectó nuestra demanda por importaciones (-15,8%).</w:t>
      </w:r>
    </w:p>
    <w:p w14:paraId="707379FE" w14:textId="77777777" w:rsidR="004B78A9" w:rsidRPr="004B78A9" w:rsidRDefault="004B78A9" w:rsidP="004B78A9">
      <w:pPr>
        <w:pBdr>
          <w:top w:val="nil"/>
          <w:left w:val="nil"/>
          <w:bottom w:val="nil"/>
          <w:right w:val="nil"/>
          <w:between w:val="nil"/>
        </w:pBdr>
        <w:spacing w:after="120" w:line="240" w:lineRule="auto"/>
        <w:ind w:left="567"/>
        <w:jc w:val="both"/>
        <w:rPr>
          <w:rFonts w:ascii="Arial Narrow" w:hAnsi="Arial Narrow"/>
        </w:rPr>
      </w:pPr>
      <w:r w:rsidRPr="004B78A9">
        <w:rPr>
          <w:rFonts w:ascii="Arial Narrow" w:hAnsi="Arial Narrow"/>
        </w:rPr>
        <w:t>Cabe resaltar, que el comercio de productos agropecuarios continuó creciendo en 2020 (+5,3%), debido al aumento conjunto de la exportación (+6,6%), principalmente de frutas (+14,8%), y la importación (+3,3%), principalmente de azúcar y soya. Las exportaciones agropecuarias del Perú registraron nuevamente un récord histórico, consolidando 8 años de crecimiento ininterrumpido.</w:t>
      </w:r>
    </w:p>
    <w:p w14:paraId="60396B74" w14:textId="77777777" w:rsidR="004B78A9" w:rsidRPr="004B78A9" w:rsidRDefault="004B78A9" w:rsidP="004B78A9">
      <w:pPr>
        <w:pBdr>
          <w:top w:val="nil"/>
          <w:left w:val="nil"/>
          <w:bottom w:val="nil"/>
          <w:right w:val="nil"/>
          <w:between w:val="nil"/>
        </w:pBdr>
        <w:spacing w:after="120" w:line="240" w:lineRule="auto"/>
        <w:ind w:left="567"/>
        <w:jc w:val="both"/>
        <w:rPr>
          <w:rFonts w:ascii="Arial Narrow" w:hAnsi="Arial Narrow"/>
        </w:rPr>
      </w:pPr>
      <w:r w:rsidRPr="004B78A9">
        <w:rPr>
          <w:rFonts w:ascii="Arial Narrow" w:hAnsi="Arial Narrow"/>
        </w:rPr>
        <w:t>Por otro lado, el comercio de productos textil/confecciones declinó 9,5% en 2020 debido a la reducción de exportaciones (-24,3%), las importaciones aumentaron (+1,1%). Exceptuando a los productos sanitarios como las mascarillas, cuyo comercio alcanzó la cifra récord de US$ 394 millones en 2020, el comercio textil/confecciones declinó 21,4%.</w:t>
      </w:r>
    </w:p>
    <w:p w14:paraId="37BC0417" w14:textId="77777777" w:rsidR="004B78A9" w:rsidRPr="004B78A9" w:rsidRDefault="004B78A9" w:rsidP="004B78A9">
      <w:pPr>
        <w:pBdr>
          <w:top w:val="nil"/>
          <w:left w:val="nil"/>
          <w:bottom w:val="nil"/>
          <w:right w:val="nil"/>
          <w:between w:val="nil"/>
        </w:pBdr>
        <w:spacing w:after="120" w:line="240" w:lineRule="auto"/>
        <w:ind w:left="567"/>
        <w:jc w:val="both"/>
        <w:rPr>
          <w:rFonts w:ascii="Arial Narrow" w:hAnsi="Arial Narrow"/>
        </w:rPr>
      </w:pPr>
      <w:r w:rsidRPr="004B78A9">
        <w:rPr>
          <w:rFonts w:ascii="Arial Narrow" w:hAnsi="Arial Narrow"/>
        </w:rPr>
        <w:t>En 2020, las exportaciones de bienes de 12 regiones del interior del país registraron incrementos, lográndose observar en 3 de ellas nuevos valores récord: La Libertad (US$ 3 185 millones), Lambayeque (US$ 725 millones) y Amazonas (US$ 41 millones).</w:t>
      </w:r>
    </w:p>
    <w:p w14:paraId="20368878" w14:textId="2E85BBB8" w:rsidR="004507EA" w:rsidRPr="004C52FE" w:rsidRDefault="00882F42" w:rsidP="004507EA">
      <w:pPr>
        <w:pBdr>
          <w:top w:val="nil"/>
          <w:left w:val="nil"/>
          <w:bottom w:val="nil"/>
          <w:right w:val="nil"/>
          <w:between w:val="nil"/>
        </w:pBdr>
        <w:spacing w:after="120" w:line="240" w:lineRule="auto"/>
        <w:ind w:left="284"/>
        <w:jc w:val="both"/>
        <w:rPr>
          <w:rFonts w:ascii="Arial Narrow" w:hAnsi="Arial Narrow"/>
        </w:rPr>
      </w:pPr>
      <w:r w:rsidRPr="004C52FE">
        <w:rPr>
          <w:rFonts w:ascii="Arial Narrow" w:hAnsi="Arial Narrow"/>
          <w:b/>
          <w:bCs/>
        </w:rPr>
        <w:t>1</w:t>
      </w:r>
      <w:r w:rsidR="004507EA" w:rsidRPr="004C52FE">
        <w:rPr>
          <w:rFonts w:ascii="Arial Narrow" w:hAnsi="Arial Narrow"/>
          <w:b/>
          <w:bCs/>
        </w:rPr>
        <w:t xml:space="preserve">.2 </w:t>
      </w:r>
      <w:r w:rsidR="004F5A58" w:rsidRPr="004C52FE">
        <w:rPr>
          <w:rFonts w:ascii="Arial Narrow" w:hAnsi="Arial Narrow"/>
          <w:b/>
          <w:bCs/>
        </w:rPr>
        <w:t>Resultado</w:t>
      </w:r>
      <w:r w:rsidR="004507EA" w:rsidRPr="004C52FE">
        <w:rPr>
          <w:rFonts w:ascii="Arial Narrow" w:hAnsi="Arial Narrow"/>
          <w:b/>
          <w:bCs/>
        </w:rPr>
        <w:t xml:space="preserve"> de cada objetivo</w:t>
      </w:r>
      <w:r w:rsidRPr="004C52FE">
        <w:rPr>
          <w:rFonts w:ascii="Arial Narrow" w:hAnsi="Arial Narrow"/>
        </w:rPr>
        <w:t xml:space="preserve"> </w:t>
      </w:r>
    </w:p>
    <w:p w14:paraId="123E184F" w14:textId="55BFFB31" w:rsidR="004507EA" w:rsidRPr="004C52FE" w:rsidRDefault="00882F42" w:rsidP="004507EA">
      <w:pPr>
        <w:ind w:left="426"/>
        <w:rPr>
          <w:rFonts w:ascii="Arial Narrow" w:hAnsi="Arial Narrow" w:cstheme="minorHAnsi"/>
          <w:b/>
        </w:rPr>
      </w:pPr>
      <w:r w:rsidRPr="004C52FE">
        <w:rPr>
          <w:rFonts w:ascii="Arial Narrow" w:hAnsi="Arial Narrow" w:cstheme="minorHAnsi"/>
          <w:b/>
        </w:rPr>
        <w:t>O</w:t>
      </w:r>
      <w:r w:rsidR="00823C7F">
        <w:rPr>
          <w:rFonts w:ascii="Arial Narrow" w:hAnsi="Arial Narrow" w:cstheme="minorHAnsi"/>
          <w:b/>
        </w:rPr>
        <w:t xml:space="preserve">bjetivo Estratégico </w:t>
      </w:r>
      <w:r w:rsidRPr="004C52FE">
        <w:rPr>
          <w:rFonts w:ascii="Arial Narrow" w:hAnsi="Arial Narrow" w:cstheme="minorHAnsi"/>
          <w:b/>
        </w:rPr>
        <w:t xml:space="preserve">01. </w:t>
      </w:r>
      <w:r w:rsidR="00823C7F" w:rsidRPr="00823C7F">
        <w:rPr>
          <w:rFonts w:ascii="Arial Narrow" w:hAnsi="Arial Narrow" w:cstheme="minorHAnsi"/>
          <w:b/>
        </w:rPr>
        <w:t>Profundizar la internacionalización de empresas</w:t>
      </w:r>
    </w:p>
    <w:p w14:paraId="020E06A3" w14:textId="2AF1AF4A" w:rsidR="00823C7F" w:rsidRDefault="00823C7F" w:rsidP="004507EA">
      <w:pPr>
        <w:pBdr>
          <w:top w:val="nil"/>
          <w:left w:val="nil"/>
          <w:bottom w:val="nil"/>
          <w:right w:val="nil"/>
          <w:between w:val="nil"/>
        </w:pBdr>
        <w:spacing w:after="120" w:line="240" w:lineRule="auto"/>
        <w:ind w:left="426"/>
        <w:jc w:val="both"/>
        <w:rPr>
          <w:rFonts w:ascii="Arial Narrow" w:hAnsi="Arial Narrow"/>
        </w:rPr>
      </w:pPr>
      <w:bookmarkStart w:id="1" w:name="_Hlk72764514"/>
      <w:r w:rsidRPr="00823C7F">
        <w:rPr>
          <w:rFonts w:ascii="Arial Narrow" w:hAnsi="Arial Narrow"/>
        </w:rPr>
        <w:t xml:space="preserve">El Perú cuenta con 21 acuerdos comerciales, en adición a los acuerdos de la </w:t>
      </w:r>
      <w:r w:rsidR="006851FC">
        <w:rPr>
          <w:rFonts w:ascii="Arial Narrow" w:hAnsi="Arial Narrow"/>
        </w:rPr>
        <w:t>Organización Mundial del Comercio (</w:t>
      </w:r>
      <w:r w:rsidRPr="00823C7F">
        <w:rPr>
          <w:rFonts w:ascii="Arial Narrow" w:hAnsi="Arial Narrow"/>
        </w:rPr>
        <w:t>OMC</w:t>
      </w:r>
      <w:r w:rsidR="006851FC">
        <w:rPr>
          <w:rFonts w:ascii="Arial Narrow" w:hAnsi="Arial Narrow"/>
        </w:rPr>
        <w:t>)</w:t>
      </w:r>
      <w:r w:rsidRPr="00823C7F">
        <w:rPr>
          <w:rFonts w:ascii="Arial Narrow" w:hAnsi="Arial Narrow"/>
        </w:rPr>
        <w:t>. Los acuerdos de libre comercio vigentes permiten un acceso preferencial a los productos peruanos, principalmente los no tradicionales a un total de 54 países en cuatro continentes. Durante este período se realizó el seguimiento a los acuerdos vigentes y aquellos que se encuentran por entrar en vigencia o en etapa de negociación.</w:t>
      </w:r>
    </w:p>
    <w:p w14:paraId="1391ED44" w14:textId="14414086" w:rsidR="00823C7F" w:rsidRDefault="00B91100" w:rsidP="004507EA">
      <w:pPr>
        <w:pBdr>
          <w:top w:val="nil"/>
          <w:left w:val="nil"/>
          <w:bottom w:val="nil"/>
          <w:right w:val="nil"/>
          <w:between w:val="nil"/>
        </w:pBdr>
        <w:spacing w:after="120" w:line="240" w:lineRule="auto"/>
        <w:ind w:left="426"/>
        <w:jc w:val="both"/>
        <w:rPr>
          <w:rFonts w:ascii="Arial Narrow" w:hAnsi="Arial Narrow"/>
        </w:rPr>
      </w:pPr>
      <w:r>
        <w:rPr>
          <w:rFonts w:ascii="Arial Narrow" w:hAnsi="Arial Narrow"/>
        </w:rPr>
        <w:t xml:space="preserve">El 11 de febrero de 2020, entró en vigor el Acuerdo de Libre Comercio </w:t>
      </w:r>
      <w:r w:rsidRPr="00823C7F">
        <w:rPr>
          <w:rFonts w:ascii="Arial Narrow" w:hAnsi="Arial Narrow"/>
        </w:rPr>
        <w:t>Perú-Australia</w:t>
      </w:r>
      <w:r>
        <w:rPr>
          <w:rFonts w:ascii="Arial Narrow" w:hAnsi="Arial Narrow"/>
        </w:rPr>
        <w:t xml:space="preserve"> y el 31 de diciembre, el </w:t>
      </w:r>
      <w:r w:rsidRPr="00823C7F">
        <w:rPr>
          <w:rFonts w:ascii="Arial Narrow" w:hAnsi="Arial Narrow"/>
        </w:rPr>
        <w:t>Acuerdo Comercial con el Reino Unido</w:t>
      </w:r>
      <w:r>
        <w:rPr>
          <w:rFonts w:ascii="Arial Narrow" w:hAnsi="Arial Narrow"/>
        </w:rPr>
        <w:t xml:space="preserve">. En relación a </w:t>
      </w:r>
      <w:r w:rsidR="00823C7F">
        <w:rPr>
          <w:rFonts w:ascii="Arial Narrow" w:hAnsi="Arial Narrow"/>
        </w:rPr>
        <w:t>los a</w:t>
      </w:r>
      <w:r w:rsidR="00823C7F" w:rsidRPr="00823C7F">
        <w:rPr>
          <w:rFonts w:ascii="Arial Narrow" w:hAnsi="Arial Narrow"/>
        </w:rPr>
        <w:t>cuerdos de libre comercio vigentes</w:t>
      </w:r>
      <w:r>
        <w:rPr>
          <w:rFonts w:ascii="Arial Narrow" w:hAnsi="Arial Narrow"/>
        </w:rPr>
        <w:t>, se mantuvieron n</w:t>
      </w:r>
      <w:r w:rsidR="00823C7F" w:rsidRPr="00823C7F">
        <w:rPr>
          <w:rFonts w:ascii="Arial Narrow" w:hAnsi="Arial Narrow"/>
        </w:rPr>
        <w:t>egociaciones</w:t>
      </w:r>
      <w:r>
        <w:rPr>
          <w:rFonts w:ascii="Arial Narrow" w:hAnsi="Arial Narrow"/>
        </w:rPr>
        <w:t xml:space="preserve"> con </w:t>
      </w:r>
      <w:r w:rsidR="00823C7F" w:rsidRPr="00823C7F">
        <w:rPr>
          <w:rFonts w:ascii="Arial Narrow" w:hAnsi="Arial Narrow"/>
        </w:rPr>
        <w:t>México</w:t>
      </w:r>
      <w:r>
        <w:rPr>
          <w:rFonts w:ascii="Arial Narrow" w:hAnsi="Arial Narrow"/>
        </w:rPr>
        <w:t xml:space="preserve"> y se participaron en las reuniones del Comité de Comercio y Subcomités del Acuerdo Comercial entre el Perú, Ecuador y Colombia, y </w:t>
      </w:r>
      <w:r w:rsidR="00823C7F" w:rsidRPr="00823C7F">
        <w:rPr>
          <w:rFonts w:ascii="Arial Narrow" w:hAnsi="Arial Narrow"/>
        </w:rPr>
        <w:t>la Unión Europea</w:t>
      </w:r>
      <w:r>
        <w:rPr>
          <w:rFonts w:ascii="Arial Narrow" w:hAnsi="Arial Narrow"/>
        </w:rPr>
        <w:t>. Se participó en la reunión del Subcomité de Medidas Sanitarias y Fitosanitarias</w:t>
      </w:r>
      <w:r w:rsidR="00254765">
        <w:rPr>
          <w:rFonts w:ascii="Arial Narrow" w:hAnsi="Arial Narrow"/>
        </w:rPr>
        <w:t>,</w:t>
      </w:r>
      <w:r>
        <w:rPr>
          <w:rFonts w:ascii="Arial Narrow" w:hAnsi="Arial Narrow"/>
        </w:rPr>
        <w:t xml:space="preserve"> en el marco del </w:t>
      </w:r>
      <w:r w:rsidR="00823C7F" w:rsidRPr="00823C7F">
        <w:rPr>
          <w:rFonts w:ascii="Arial Narrow" w:hAnsi="Arial Narrow"/>
        </w:rPr>
        <w:t>Acuerdo de Asociación Económica con el Japón</w:t>
      </w:r>
      <w:r w:rsidR="00823C7F">
        <w:rPr>
          <w:rFonts w:ascii="Arial Narrow" w:hAnsi="Arial Narrow"/>
        </w:rPr>
        <w:t xml:space="preserve">; </w:t>
      </w:r>
      <w:r>
        <w:rPr>
          <w:rFonts w:ascii="Arial Narrow" w:hAnsi="Arial Narrow"/>
        </w:rPr>
        <w:t xml:space="preserve">y se participaron en reuniones en el marco de la </w:t>
      </w:r>
      <w:r w:rsidR="00823C7F" w:rsidRPr="00823C7F">
        <w:rPr>
          <w:rFonts w:ascii="Arial Narrow" w:hAnsi="Arial Narrow"/>
        </w:rPr>
        <w:t>Alianza del Pacífico</w:t>
      </w:r>
      <w:r>
        <w:rPr>
          <w:rFonts w:ascii="Arial Narrow" w:hAnsi="Arial Narrow"/>
        </w:rPr>
        <w:t>.</w:t>
      </w:r>
    </w:p>
    <w:p w14:paraId="68570487" w14:textId="42919E47" w:rsidR="006305D1" w:rsidRDefault="00254765" w:rsidP="004507EA">
      <w:pPr>
        <w:pBdr>
          <w:top w:val="nil"/>
          <w:left w:val="nil"/>
          <w:bottom w:val="nil"/>
          <w:right w:val="nil"/>
          <w:between w:val="nil"/>
        </w:pBdr>
        <w:spacing w:after="120" w:line="240" w:lineRule="auto"/>
        <w:ind w:left="426"/>
        <w:jc w:val="both"/>
        <w:rPr>
          <w:rFonts w:ascii="Arial Narrow" w:hAnsi="Arial Narrow"/>
        </w:rPr>
      </w:pPr>
      <w:r>
        <w:rPr>
          <w:rFonts w:ascii="Arial Narrow" w:hAnsi="Arial Narrow"/>
        </w:rPr>
        <w:t>Cabe precisar, que e</w:t>
      </w:r>
      <w:r w:rsidR="006305D1">
        <w:rPr>
          <w:rFonts w:ascii="Arial Narrow" w:hAnsi="Arial Narrow"/>
        </w:rPr>
        <w:t xml:space="preserve">l </w:t>
      </w:r>
      <w:r w:rsidR="006305D1" w:rsidRPr="006305D1">
        <w:rPr>
          <w:rFonts w:ascii="Arial Narrow" w:hAnsi="Arial Narrow"/>
        </w:rPr>
        <w:t>Tratado Integral y Progresista de Asociación Transpacífico (CPTPP</w:t>
      </w:r>
      <w:r w:rsidR="006305D1">
        <w:rPr>
          <w:rFonts w:ascii="Arial Narrow" w:hAnsi="Arial Narrow"/>
        </w:rPr>
        <w:t xml:space="preserve"> por sus siglas en inglés) se encuentra por entrar en vigencia.</w:t>
      </w:r>
    </w:p>
    <w:p w14:paraId="5958127A" w14:textId="6E425BC9" w:rsidR="006305D1" w:rsidRDefault="006305D1" w:rsidP="004507EA">
      <w:pPr>
        <w:pBdr>
          <w:top w:val="nil"/>
          <w:left w:val="nil"/>
          <w:bottom w:val="nil"/>
          <w:right w:val="nil"/>
          <w:between w:val="nil"/>
        </w:pBdr>
        <w:spacing w:after="120" w:line="240" w:lineRule="auto"/>
        <w:ind w:left="426"/>
        <w:jc w:val="both"/>
        <w:rPr>
          <w:rFonts w:ascii="Arial Narrow" w:hAnsi="Arial Narrow"/>
        </w:rPr>
      </w:pPr>
      <w:r>
        <w:rPr>
          <w:rFonts w:ascii="Arial Narrow" w:hAnsi="Arial Narrow"/>
        </w:rPr>
        <w:t xml:space="preserve">Durante el 2020, se continuó con el proceso de negociación entre la </w:t>
      </w:r>
      <w:r w:rsidRPr="006305D1">
        <w:rPr>
          <w:rFonts w:ascii="Arial Narrow" w:hAnsi="Arial Narrow"/>
        </w:rPr>
        <w:t xml:space="preserve">Alianza del Pacífico </w:t>
      </w:r>
      <w:r>
        <w:rPr>
          <w:rFonts w:ascii="Arial Narrow" w:hAnsi="Arial Narrow"/>
        </w:rPr>
        <w:t xml:space="preserve">y los </w:t>
      </w:r>
      <w:r w:rsidRPr="006305D1">
        <w:rPr>
          <w:rFonts w:ascii="Arial Narrow" w:hAnsi="Arial Narrow"/>
        </w:rPr>
        <w:t>Candidatos a Estados Asociados</w:t>
      </w:r>
      <w:r>
        <w:rPr>
          <w:rFonts w:ascii="Arial Narrow" w:hAnsi="Arial Narrow"/>
        </w:rPr>
        <w:t xml:space="preserve"> (CEA) conformados por Australia, Canadá, Nueva Zelanda y Singapur</w:t>
      </w:r>
      <w:r w:rsidR="00254765">
        <w:rPr>
          <w:rFonts w:ascii="Arial Narrow" w:hAnsi="Arial Narrow"/>
        </w:rPr>
        <w:t xml:space="preserve">; así como con </w:t>
      </w:r>
      <w:r>
        <w:rPr>
          <w:rFonts w:ascii="Arial Narrow" w:hAnsi="Arial Narrow"/>
        </w:rPr>
        <w:t xml:space="preserve">la optimización del TLC con China y </w:t>
      </w:r>
      <w:r w:rsidR="00254765">
        <w:rPr>
          <w:rFonts w:ascii="Arial Narrow" w:hAnsi="Arial Narrow"/>
        </w:rPr>
        <w:t xml:space="preserve">las </w:t>
      </w:r>
      <w:r>
        <w:rPr>
          <w:rFonts w:ascii="Arial Narrow" w:hAnsi="Arial Narrow"/>
        </w:rPr>
        <w:t>negociaciones con la India.</w:t>
      </w:r>
    </w:p>
    <w:p w14:paraId="63B7541B" w14:textId="488EE45B" w:rsidR="00D25AF2" w:rsidRDefault="00D25AF2" w:rsidP="004507EA">
      <w:pPr>
        <w:pBdr>
          <w:top w:val="nil"/>
          <w:left w:val="nil"/>
          <w:bottom w:val="nil"/>
          <w:right w:val="nil"/>
          <w:between w:val="nil"/>
        </w:pBdr>
        <w:spacing w:after="120" w:line="240" w:lineRule="auto"/>
        <w:ind w:left="426"/>
        <w:jc w:val="both"/>
        <w:rPr>
          <w:rFonts w:ascii="Arial Narrow" w:hAnsi="Arial Narrow"/>
        </w:rPr>
      </w:pPr>
      <w:r>
        <w:rPr>
          <w:rFonts w:ascii="Arial Narrow" w:hAnsi="Arial Narrow"/>
        </w:rPr>
        <w:t xml:space="preserve">Asimismo, se participó en </w:t>
      </w:r>
      <w:r w:rsidR="0067487A">
        <w:rPr>
          <w:rFonts w:ascii="Arial Narrow" w:hAnsi="Arial Narrow"/>
        </w:rPr>
        <w:t xml:space="preserve">foros internacionales como en la </w:t>
      </w:r>
      <w:r w:rsidR="0067487A" w:rsidRPr="0067487A">
        <w:rPr>
          <w:rFonts w:ascii="Arial Narrow" w:hAnsi="Arial Narrow"/>
        </w:rPr>
        <w:t>Unión Económica Euroasiática</w:t>
      </w:r>
      <w:r w:rsidR="0067487A">
        <w:rPr>
          <w:rFonts w:ascii="Arial Narrow" w:hAnsi="Arial Narrow"/>
        </w:rPr>
        <w:t>,</w:t>
      </w:r>
      <w:r w:rsidR="00215680">
        <w:rPr>
          <w:rFonts w:ascii="Arial Narrow" w:hAnsi="Arial Narrow"/>
        </w:rPr>
        <w:t xml:space="preserve"> </w:t>
      </w:r>
      <w:r w:rsidR="00254765">
        <w:rPr>
          <w:rFonts w:ascii="Arial Narrow" w:hAnsi="Arial Narrow"/>
        </w:rPr>
        <w:t xml:space="preserve">en reuniones </w:t>
      </w:r>
      <w:r w:rsidR="0067487A">
        <w:rPr>
          <w:rFonts w:ascii="Arial Narrow" w:hAnsi="Arial Narrow"/>
        </w:rPr>
        <w:t>en el marco de los Gabinetes Binacionales</w:t>
      </w:r>
      <w:r w:rsidR="00215680">
        <w:rPr>
          <w:rFonts w:ascii="Arial Narrow" w:hAnsi="Arial Narrow"/>
        </w:rPr>
        <w:t xml:space="preserve"> con Colombia y Chile</w:t>
      </w:r>
      <w:r w:rsidR="00254765">
        <w:rPr>
          <w:rFonts w:ascii="Arial Narrow" w:hAnsi="Arial Narrow"/>
        </w:rPr>
        <w:t xml:space="preserve">; y </w:t>
      </w:r>
      <w:r w:rsidR="00215680">
        <w:rPr>
          <w:rFonts w:ascii="Arial Narrow" w:hAnsi="Arial Narrow"/>
        </w:rPr>
        <w:t xml:space="preserve">en el marco de </w:t>
      </w:r>
      <w:r w:rsidR="0067487A">
        <w:rPr>
          <w:rFonts w:ascii="Arial Narrow" w:hAnsi="Arial Narrow"/>
        </w:rPr>
        <w:t xml:space="preserve">la </w:t>
      </w:r>
      <w:r w:rsidR="0067487A">
        <w:rPr>
          <w:rFonts w:ascii="Arial Narrow" w:hAnsi="Arial Narrow"/>
        </w:rPr>
        <w:lastRenderedPageBreak/>
        <w:t xml:space="preserve">Comunidad Andina (CAN), la OMC, la </w:t>
      </w:r>
      <w:r w:rsidR="0067487A" w:rsidRPr="0067487A">
        <w:rPr>
          <w:rFonts w:ascii="Arial Narrow" w:hAnsi="Arial Narrow"/>
        </w:rPr>
        <w:t>Organización para la Cooperación y el Desarrollo Económico</w:t>
      </w:r>
      <w:r w:rsidR="0067487A">
        <w:rPr>
          <w:rFonts w:ascii="Arial Narrow" w:hAnsi="Arial Narrow"/>
        </w:rPr>
        <w:t xml:space="preserve"> (OCDE)</w:t>
      </w:r>
      <w:r w:rsidR="00215680">
        <w:rPr>
          <w:rFonts w:ascii="Arial Narrow" w:hAnsi="Arial Narrow"/>
        </w:rPr>
        <w:t xml:space="preserve"> y el </w:t>
      </w:r>
      <w:r w:rsidR="00215680" w:rsidRPr="00215680">
        <w:rPr>
          <w:rFonts w:ascii="Arial Narrow" w:hAnsi="Arial Narrow"/>
        </w:rPr>
        <w:t>Foro de Cooperación Económica Asia-Pacífico (APEC)</w:t>
      </w:r>
      <w:r w:rsidR="00215680">
        <w:rPr>
          <w:rFonts w:ascii="Arial Narrow" w:hAnsi="Arial Narrow"/>
        </w:rPr>
        <w:t>.</w:t>
      </w:r>
    </w:p>
    <w:bookmarkEnd w:id="1"/>
    <w:p w14:paraId="38D5ECB4" w14:textId="3DDC320B" w:rsidR="00823C7F" w:rsidRDefault="00823C7F" w:rsidP="003C3E44">
      <w:pPr>
        <w:pBdr>
          <w:top w:val="nil"/>
          <w:left w:val="nil"/>
          <w:bottom w:val="nil"/>
          <w:right w:val="nil"/>
          <w:between w:val="nil"/>
        </w:pBdr>
        <w:spacing w:after="120" w:line="240" w:lineRule="auto"/>
        <w:ind w:left="426"/>
        <w:jc w:val="both"/>
        <w:rPr>
          <w:rFonts w:ascii="Arial Narrow" w:hAnsi="Arial Narrow" w:cstheme="minorHAnsi"/>
          <w:b/>
        </w:rPr>
      </w:pPr>
      <w:r w:rsidRPr="004C52FE">
        <w:rPr>
          <w:rFonts w:ascii="Arial Narrow" w:hAnsi="Arial Narrow" w:cstheme="minorHAnsi"/>
          <w:b/>
        </w:rPr>
        <w:t>O</w:t>
      </w:r>
      <w:r>
        <w:rPr>
          <w:rFonts w:ascii="Arial Narrow" w:hAnsi="Arial Narrow" w:cstheme="minorHAnsi"/>
          <w:b/>
        </w:rPr>
        <w:t xml:space="preserve">bjetivo Estratégico </w:t>
      </w:r>
      <w:r w:rsidRPr="004C52FE">
        <w:rPr>
          <w:rFonts w:ascii="Arial Narrow" w:hAnsi="Arial Narrow" w:cstheme="minorHAnsi"/>
          <w:b/>
        </w:rPr>
        <w:t>0</w:t>
      </w:r>
      <w:r>
        <w:rPr>
          <w:rFonts w:ascii="Arial Narrow" w:hAnsi="Arial Narrow" w:cstheme="minorHAnsi"/>
          <w:b/>
        </w:rPr>
        <w:t>2</w:t>
      </w:r>
      <w:r w:rsidRPr="004C52FE">
        <w:rPr>
          <w:rFonts w:ascii="Arial Narrow" w:hAnsi="Arial Narrow" w:cstheme="minorHAnsi"/>
          <w:b/>
        </w:rPr>
        <w:t xml:space="preserve">. </w:t>
      </w:r>
      <w:r w:rsidRPr="00823C7F">
        <w:rPr>
          <w:rFonts w:ascii="Arial Narrow" w:hAnsi="Arial Narrow" w:cstheme="minorHAnsi"/>
          <w:b/>
        </w:rPr>
        <w:t>Incrementar de manera sostenible</w:t>
      </w:r>
      <w:r>
        <w:rPr>
          <w:rFonts w:ascii="Arial Narrow" w:hAnsi="Arial Narrow" w:cstheme="minorHAnsi"/>
          <w:b/>
        </w:rPr>
        <w:t xml:space="preserve"> </w:t>
      </w:r>
      <w:r w:rsidRPr="00823C7F">
        <w:rPr>
          <w:rFonts w:ascii="Arial Narrow" w:hAnsi="Arial Narrow" w:cstheme="minorHAnsi"/>
          <w:b/>
        </w:rPr>
        <w:t>y diversificada las exportaciones de bienes y servicios con valor agregado</w:t>
      </w:r>
    </w:p>
    <w:p w14:paraId="26FB7984" w14:textId="76001AD6" w:rsidR="00254765" w:rsidRDefault="00254765" w:rsidP="003C3E44">
      <w:pPr>
        <w:ind w:left="426"/>
        <w:jc w:val="both"/>
        <w:rPr>
          <w:rFonts w:ascii="Arial Narrow" w:hAnsi="Arial Narrow" w:cstheme="minorHAnsi"/>
          <w:bCs/>
        </w:rPr>
      </w:pPr>
      <w:r w:rsidRPr="00254765">
        <w:rPr>
          <w:rFonts w:ascii="Arial Narrow" w:hAnsi="Arial Narrow" w:cstheme="minorHAnsi"/>
          <w:bCs/>
        </w:rPr>
        <w:t xml:space="preserve">En el año 2020, se publicó el Plan de Desarrollo de Mercado </w:t>
      </w:r>
      <w:r>
        <w:rPr>
          <w:rFonts w:ascii="Arial Narrow" w:hAnsi="Arial Narrow" w:cstheme="minorHAnsi"/>
          <w:bCs/>
        </w:rPr>
        <w:t xml:space="preserve">(PDM) </w:t>
      </w:r>
      <w:r w:rsidRPr="00254765">
        <w:rPr>
          <w:rFonts w:ascii="Arial Narrow" w:hAnsi="Arial Narrow" w:cstheme="minorHAnsi"/>
          <w:bCs/>
        </w:rPr>
        <w:t>de Ecuador y 10 perfiles producto-mercado</w:t>
      </w:r>
      <w:r>
        <w:rPr>
          <w:rFonts w:ascii="Arial Narrow" w:hAnsi="Arial Narrow" w:cstheme="minorHAnsi"/>
          <w:bCs/>
        </w:rPr>
        <w:t xml:space="preserve"> </w:t>
      </w:r>
      <w:r w:rsidRPr="00254765">
        <w:rPr>
          <w:rFonts w:ascii="Arial Narrow" w:hAnsi="Arial Narrow" w:cstheme="minorHAnsi"/>
          <w:bCs/>
        </w:rPr>
        <w:t>en el portal web del MINCETUR. Los perfiles corresponden a envases y embalajes, sandias, materiales para la construcción, servicio a la minería, pisco, aceite de oliva, salsa de ají, prendas para mujeres y niñas, prendas para hombres y niños y prendas de algodón para bebés.</w:t>
      </w:r>
    </w:p>
    <w:p w14:paraId="6FF350CE" w14:textId="75E1C980" w:rsidR="00823C7F" w:rsidRDefault="00254765" w:rsidP="003C3E44">
      <w:pPr>
        <w:ind w:left="426"/>
        <w:jc w:val="both"/>
        <w:rPr>
          <w:rFonts w:ascii="Arial Narrow" w:hAnsi="Arial Narrow" w:cstheme="minorHAnsi"/>
          <w:bCs/>
        </w:rPr>
      </w:pPr>
      <w:r>
        <w:rPr>
          <w:rFonts w:ascii="Arial Narrow" w:hAnsi="Arial Narrow" w:cstheme="minorHAnsi"/>
          <w:bCs/>
        </w:rPr>
        <w:t xml:space="preserve">Asimismo, durante ese año, </w:t>
      </w:r>
      <w:r w:rsidR="003C3E44" w:rsidRPr="003C3E44">
        <w:rPr>
          <w:rFonts w:ascii="Arial Narrow" w:hAnsi="Arial Narrow" w:cstheme="minorHAnsi"/>
          <w:bCs/>
        </w:rPr>
        <w:t>se encontraban en proceso de aprobación</w:t>
      </w:r>
      <w:r w:rsidR="003C3E44">
        <w:rPr>
          <w:rFonts w:ascii="Arial Narrow" w:hAnsi="Arial Narrow" w:cstheme="minorHAnsi"/>
          <w:bCs/>
        </w:rPr>
        <w:t xml:space="preserve"> </w:t>
      </w:r>
      <w:r w:rsidR="003C3E44" w:rsidRPr="003C3E44">
        <w:rPr>
          <w:rFonts w:ascii="Arial Narrow" w:hAnsi="Arial Narrow" w:cstheme="minorHAnsi"/>
          <w:bCs/>
        </w:rPr>
        <w:t xml:space="preserve">2 </w:t>
      </w:r>
      <w:r w:rsidR="003C3E44">
        <w:rPr>
          <w:rFonts w:ascii="Arial Narrow" w:hAnsi="Arial Narrow" w:cstheme="minorHAnsi"/>
          <w:bCs/>
        </w:rPr>
        <w:t>Planes Regionales de Exportación (</w:t>
      </w:r>
      <w:r w:rsidR="003C3E44" w:rsidRPr="003C3E44">
        <w:rPr>
          <w:rFonts w:ascii="Arial Narrow" w:hAnsi="Arial Narrow" w:cstheme="minorHAnsi"/>
          <w:bCs/>
        </w:rPr>
        <w:t>PERX</w:t>
      </w:r>
      <w:r w:rsidR="003C3E44">
        <w:rPr>
          <w:rFonts w:ascii="Arial Narrow" w:hAnsi="Arial Narrow" w:cstheme="minorHAnsi"/>
          <w:bCs/>
        </w:rPr>
        <w:t>)</w:t>
      </w:r>
      <w:r>
        <w:rPr>
          <w:rFonts w:ascii="Arial Narrow" w:hAnsi="Arial Narrow" w:cstheme="minorHAnsi"/>
          <w:bCs/>
        </w:rPr>
        <w:t xml:space="preserve"> </w:t>
      </w:r>
      <w:r w:rsidR="003C3E44" w:rsidRPr="003C3E44">
        <w:rPr>
          <w:rFonts w:ascii="Arial Narrow" w:hAnsi="Arial Narrow" w:cstheme="minorHAnsi"/>
          <w:bCs/>
        </w:rPr>
        <w:t>correspondientes a las regiones de Cusco y Tumbes mediante Ordenanza regional. Asimismo, se implementó el sistema virtual de monitoreo y seguimiento a la implementación de los PERX</w:t>
      </w:r>
      <w:r>
        <w:rPr>
          <w:rFonts w:ascii="Arial Narrow" w:hAnsi="Arial Narrow" w:cstheme="minorHAnsi"/>
          <w:bCs/>
        </w:rPr>
        <w:t xml:space="preserve">, el cual </w:t>
      </w:r>
      <w:r w:rsidR="003C3E44" w:rsidRPr="003C3E44">
        <w:rPr>
          <w:rFonts w:ascii="Arial Narrow" w:hAnsi="Arial Narrow" w:cstheme="minorHAnsi"/>
          <w:bCs/>
        </w:rPr>
        <w:t>permite registrar información vinculada a la ejecución de actividades en relación a dichas acciones</w:t>
      </w:r>
      <w:r w:rsidR="007003E5">
        <w:rPr>
          <w:rFonts w:ascii="Arial Narrow" w:hAnsi="Arial Narrow" w:cstheme="minorHAnsi"/>
          <w:bCs/>
        </w:rPr>
        <w:t>.</w:t>
      </w:r>
    </w:p>
    <w:p w14:paraId="4A1CB0CF" w14:textId="5AAB985E" w:rsidR="007003E5" w:rsidRPr="007003E5" w:rsidRDefault="007003E5" w:rsidP="007003E5">
      <w:pPr>
        <w:ind w:left="426"/>
        <w:jc w:val="both"/>
        <w:rPr>
          <w:rFonts w:ascii="Arial Narrow" w:hAnsi="Arial Narrow" w:cstheme="minorHAnsi"/>
          <w:bCs/>
          <w:lang w:val="es-MX"/>
        </w:rPr>
      </w:pPr>
      <w:r>
        <w:rPr>
          <w:rFonts w:ascii="Arial Narrow" w:hAnsi="Arial Narrow" w:cstheme="minorHAnsi"/>
          <w:bCs/>
        </w:rPr>
        <w:t xml:space="preserve">En el marco de la </w:t>
      </w:r>
      <w:r w:rsidRPr="007003E5">
        <w:rPr>
          <w:rFonts w:ascii="Arial Narrow" w:hAnsi="Arial Narrow" w:cstheme="minorHAnsi"/>
          <w:bCs/>
        </w:rPr>
        <w:t xml:space="preserve">Comisión Nacional de Promoción del Biocomercio </w:t>
      </w:r>
      <w:r>
        <w:rPr>
          <w:rFonts w:ascii="Arial Narrow" w:hAnsi="Arial Narrow" w:cstheme="minorHAnsi"/>
          <w:bCs/>
        </w:rPr>
        <w:t>(</w:t>
      </w:r>
      <w:r w:rsidRPr="007003E5">
        <w:rPr>
          <w:rFonts w:ascii="Arial Narrow" w:hAnsi="Arial Narrow" w:cstheme="minorHAnsi"/>
          <w:bCs/>
        </w:rPr>
        <w:t>CNPB</w:t>
      </w:r>
      <w:r>
        <w:rPr>
          <w:rFonts w:ascii="Arial Narrow" w:hAnsi="Arial Narrow" w:cstheme="minorHAnsi"/>
          <w:bCs/>
        </w:rPr>
        <w:t xml:space="preserve">), se </w:t>
      </w:r>
      <w:r w:rsidR="00254765">
        <w:rPr>
          <w:rFonts w:ascii="Arial Narrow" w:hAnsi="Arial Narrow" w:cstheme="minorHAnsi"/>
          <w:bCs/>
        </w:rPr>
        <w:t xml:space="preserve">logró realizar 4 sesiones </w:t>
      </w:r>
      <w:r w:rsidRPr="007003E5">
        <w:rPr>
          <w:rFonts w:ascii="Arial Narrow" w:hAnsi="Arial Narrow" w:cstheme="minorHAnsi"/>
          <w:bCs/>
        </w:rPr>
        <w:t>en los meses de enero, febrero, julio y diciembre</w:t>
      </w:r>
      <w:r>
        <w:rPr>
          <w:rFonts w:ascii="Arial Narrow" w:hAnsi="Arial Narrow" w:cstheme="minorHAnsi"/>
          <w:bCs/>
        </w:rPr>
        <w:t xml:space="preserve"> de 2020</w:t>
      </w:r>
      <w:r w:rsidRPr="007003E5">
        <w:rPr>
          <w:rFonts w:ascii="Arial Narrow" w:hAnsi="Arial Narrow" w:cstheme="minorHAnsi"/>
          <w:bCs/>
        </w:rPr>
        <w:t>.</w:t>
      </w:r>
      <w:r>
        <w:rPr>
          <w:rFonts w:ascii="Arial Narrow" w:hAnsi="Arial Narrow" w:cstheme="minorHAnsi"/>
          <w:bCs/>
        </w:rPr>
        <w:t xml:space="preserve"> R</w:t>
      </w:r>
      <w:r w:rsidRPr="007003E5">
        <w:rPr>
          <w:rFonts w:ascii="Arial Narrow" w:hAnsi="Arial Narrow" w:cstheme="minorHAnsi"/>
          <w:bCs/>
          <w:lang w:val="es-MX"/>
        </w:rPr>
        <w:t xml:space="preserve">especto al grado de implementación de la </w:t>
      </w:r>
      <w:r>
        <w:rPr>
          <w:rFonts w:ascii="Arial Narrow" w:hAnsi="Arial Narrow" w:cstheme="minorHAnsi"/>
          <w:bCs/>
        </w:rPr>
        <w:t>E</w:t>
      </w:r>
      <w:r w:rsidRPr="007003E5">
        <w:rPr>
          <w:rFonts w:ascii="Arial Narrow" w:hAnsi="Arial Narrow" w:cstheme="minorHAnsi"/>
          <w:bCs/>
        </w:rPr>
        <w:t>strategia Nacional de Biocomercio y su Plan de Acción 2025 (ENByPA)</w:t>
      </w:r>
      <w:r w:rsidRPr="007003E5">
        <w:rPr>
          <w:rFonts w:ascii="Arial Narrow" w:hAnsi="Arial Narrow" w:cstheme="minorHAnsi"/>
          <w:bCs/>
          <w:lang w:val="es-MX"/>
        </w:rPr>
        <w:t xml:space="preserve"> al 2020, se elaboró un análisis a nivel global sobre su implementación</w:t>
      </w:r>
      <w:r w:rsidR="00254765">
        <w:rPr>
          <w:rFonts w:ascii="Arial Narrow" w:hAnsi="Arial Narrow" w:cstheme="minorHAnsi"/>
          <w:bCs/>
          <w:lang w:val="es-MX"/>
        </w:rPr>
        <w:t xml:space="preserve">, </w:t>
      </w:r>
      <w:r w:rsidRPr="007003E5">
        <w:rPr>
          <w:rFonts w:ascii="Arial Narrow" w:hAnsi="Arial Narrow" w:cstheme="minorHAnsi"/>
          <w:bCs/>
          <w:lang w:val="es-MX"/>
        </w:rPr>
        <w:t>alcanzando un nivel de cumplimiento de</w:t>
      </w:r>
      <w:r w:rsidR="00254765">
        <w:rPr>
          <w:rFonts w:ascii="Arial Narrow" w:hAnsi="Arial Narrow" w:cstheme="minorHAnsi"/>
          <w:bCs/>
          <w:lang w:val="es-MX"/>
        </w:rPr>
        <w:t>l</w:t>
      </w:r>
      <w:r w:rsidRPr="007003E5">
        <w:rPr>
          <w:rFonts w:ascii="Arial Narrow" w:hAnsi="Arial Narrow" w:cstheme="minorHAnsi"/>
          <w:bCs/>
          <w:lang w:val="es-MX"/>
        </w:rPr>
        <w:t xml:space="preserve"> 71% en la implementación del Plan de Acción al 2025, entre acciones culminadas o en proceso de implementación. Los ejes de Políticas, Desarrollo de oferta, e Investigación, desarrollo e innovación, así como el de Gestión de conocimiento superaron el 75% de avance en este sentido. A nivel global, se contó con 57 actividades de las 91 actividades establecidas en el Plan de Acción al 2025, culminadas o con inicio en su implementación.</w:t>
      </w:r>
    </w:p>
    <w:p w14:paraId="780C7178" w14:textId="1BA86433" w:rsidR="007003E5" w:rsidRDefault="007003E5" w:rsidP="003C3E44">
      <w:pPr>
        <w:ind w:left="426"/>
        <w:jc w:val="both"/>
        <w:rPr>
          <w:rFonts w:ascii="Arial Narrow" w:hAnsi="Arial Narrow" w:cstheme="minorHAnsi"/>
          <w:bCs/>
          <w:lang w:val="es-MX"/>
        </w:rPr>
      </w:pPr>
      <w:r>
        <w:rPr>
          <w:rFonts w:ascii="Arial Narrow" w:hAnsi="Arial Narrow" w:cstheme="minorHAnsi"/>
          <w:bCs/>
          <w:lang w:val="es-MX"/>
        </w:rPr>
        <w:t>Para la g</w:t>
      </w:r>
      <w:r w:rsidRPr="007003E5">
        <w:rPr>
          <w:rFonts w:ascii="Arial Narrow" w:hAnsi="Arial Narrow" w:cstheme="minorHAnsi"/>
          <w:bCs/>
          <w:lang w:val="es-MX"/>
        </w:rPr>
        <w:t>estión de la calidad y estándares internacionales</w:t>
      </w:r>
      <w:r>
        <w:rPr>
          <w:rFonts w:ascii="Arial Narrow" w:hAnsi="Arial Narrow" w:cstheme="minorHAnsi"/>
          <w:bCs/>
          <w:lang w:val="es-MX"/>
        </w:rPr>
        <w:t>, s</w:t>
      </w:r>
      <w:r w:rsidRPr="007003E5">
        <w:rPr>
          <w:rFonts w:ascii="Arial Narrow" w:hAnsi="Arial Narrow" w:cstheme="minorHAnsi"/>
          <w:bCs/>
          <w:lang w:val="es-MX"/>
        </w:rPr>
        <w:t>e brindó capacitación y asistencia técnica a 5 organizaciones de productores de las regiones de Arequipa, La Libertad, Lambayeque, Lima y Moquegua</w:t>
      </w:r>
      <w:r w:rsidR="00254765">
        <w:rPr>
          <w:rFonts w:ascii="Arial Narrow" w:hAnsi="Arial Narrow" w:cstheme="minorHAnsi"/>
          <w:bCs/>
          <w:lang w:val="es-MX"/>
        </w:rPr>
        <w:t xml:space="preserve">, </w:t>
      </w:r>
      <w:r w:rsidRPr="007003E5">
        <w:rPr>
          <w:rFonts w:ascii="Arial Narrow" w:hAnsi="Arial Narrow" w:cstheme="minorHAnsi"/>
          <w:bCs/>
          <w:lang w:val="es-MX"/>
        </w:rPr>
        <w:t xml:space="preserve">beneficiando a 233 productores con el acceso a la certificación orgánica (3), </w:t>
      </w:r>
      <w:r w:rsidR="00245146">
        <w:rPr>
          <w:rFonts w:ascii="Arial Narrow" w:hAnsi="Arial Narrow" w:cstheme="minorHAnsi"/>
          <w:bCs/>
          <w:lang w:val="es-MX"/>
        </w:rPr>
        <w:t xml:space="preserve">evaluación global de riesgos en la práctica social, </w:t>
      </w:r>
      <w:r w:rsidRPr="007003E5">
        <w:rPr>
          <w:rFonts w:ascii="Arial Narrow" w:hAnsi="Arial Narrow" w:cstheme="minorHAnsi"/>
          <w:bCs/>
          <w:lang w:val="es-MX"/>
        </w:rPr>
        <w:t>GRASP</w:t>
      </w:r>
      <w:r w:rsidR="00245146">
        <w:rPr>
          <w:rFonts w:ascii="Arial Narrow" w:hAnsi="Arial Narrow" w:cstheme="minorHAnsi"/>
          <w:bCs/>
          <w:lang w:val="es-MX"/>
        </w:rPr>
        <w:t xml:space="preserve"> por sus siglas en inglés, </w:t>
      </w:r>
      <w:r w:rsidRPr="007003E5">
        <w:rPr>
          <w:rFonts w:ascii="Arial Narrow" w:hAnsi="Arial Narrow" w:cstheme="minorHAnsi"/>
          <w:bCs/>
          <w:lang w:val="es-MX"/>
        </w:rPr>
        <w:t xml:space="preserve">(1) y </w:t>
      </w:r>
      <w:r w:rsidR="00245146">
        <w:rPr>
          <w:rFonts w:ascii="Arial Narrow" w:hAnsi="Arial Narrow" w:cstheme="minorHAnsi"/>
          <w:bCs/>
          <w:lang w:val="es-MX"/>
        </w:rPr>
        <w:t xml:space="preserve">comercio justo, </w:t>
      </w:r>
      <w:r w:rsidR="00245146" w:rsidRPr="00254765">
        <w:rPr>
          <w:rFonts w:ascii="Arial Narrow" w:hAnsi="Arial Narrow" w:cstheme="minorHAnsi"/>
          <w:bCs/>
          <w:i/>
          <w:iCs/>
          <w:lang w:val="es-MX"/>
        </w:rPr>
        <w:t>f</w:t>
      </w:r>
      <w:r w:rsidRPr="00254765">
        <w:rPr>
          <w:rFonts w:ascii="Arial Narrow" w:hAnsi="Arial Narrow" w:cstheme="minorHAnsi"/>
          <w:bCs/>
          <w:i/>
          <w:iCs/>
          <w:lang w:val="es-MX"/>
        </w:rPr>
        <w:t>airtrade</w:t>
      </w:r>
      <w:r w:rsidRPr="007003E5">
        <w:rPr>
          <w:rFonts w:ascii="Arial Narrow" w:hAnsi="Arial Narrow" w:cstheme="minorHAnsi"/>
          <w:bCs/>
          <w:lang w:val="es-MX"/>
        </w:rPr>
        <w:t xml:space="preserve"> (1) para los siguientes productos: palta orgánica, hongos, banano orgánico, orégano y palta.</w:t>
      </w:r>
    </w:p>
    <w:p w14:paraId="0D52B2D3" w14:textId="045A47F6" w:rsidR="00245146" w:rsidRDefault="00245146" w:rsidP="003C3E44">
      <w:pPr>
        <w:ind w:left="426"/>
        <w:jc w:val="both"/>
        <w:rPr>
          <w:rFonts w:ascii="Arial Narrow" w:hAnsi="Arial Narrow" w:cstheme="minorHAnsi"/>
          <w:bCs/>
          <w:lang w:val="es-MX"/>
        </w:rPr>
      </w:pPr>
      <w:r w:rsidRPr="00245146">
        <w:rPr>
          <w:rFonts w:ascii="Arial Narrow" w:hAnsi="Arial Narrow" w:cstheme="minorHAnsi"/>
          <w:bCs/>
          <w:lang w:val="es-MX"/>
        </w:rPr>
        <w:t xml:space="preserve">En agosto de 2020, se llevó a cabo la sesión ordinaria del Comité Multisectorial para el Desarrollo del Comercio Exterior de Servicios, en la cual se acordó la creación de tres Sub-Comités con el objetivo de impulsar, coordinar y monitorear el desarrollo de actividades en temáticas específicas, orientadas al desarrollo de la exportación de servicios: i) Desarrollo de </w:t>
      </w:r>
      <w:r w:rsidR="00254765" w:rsidRPr="00245146">
        <w:rPr>
          <w:rFonts w:ascii="Arial Narrow" w:hAnsi="Arial Narrow" w:cstheme="minorHAnsi"/>
          <w:bCs/>
          <w:lang w:val="es-MX"/>
        </w:rPr>
        <w:t>capacidades</w:t>
      </w:r>
      <w:r w:rsidRPr="00245146">
        <w:rPr>
          <w:rFonts w:ascii="Arial Narrow" w:hAnsi="Arial Narrow" w:cstheme="minorHAnsi"/>
          <w:bCs/>
          <w:lang w:val="es-MX"/>
        </w:rPr>
        <w:t xml:space="preserve">, ii) Promoción e </w:t>
      </w:r>
      <w:r w:rsidR="00254765" w:rsidRPr="00245146">
        <w:rPr>
          <w:rFonts w:ascii="Arial Narrow" w:hAnsi="Arial Narrow" w:cstheme="minorHAnsi"/>
          <w:bCs/>
          <w:lang w:val="es-MX"/>
        </w:rPr>
        <w:t>internacionalización</w:t>
      </w:r>
      <w:r w:rsidRPr="00245146">
        <w:rPr>
          <w:rFonts w:ascii="Arial Narrow" w:hAnsi="Arial Narrow" w:cstheme="minorHAnsi"/>
          <w:bCs/>
          <w:lang w:val="es-MX"/>
        </w:rPr>
        <w:t xml:space="preserve">, iii) Información y </w:t>
      </w:r>
      <w:r w:rsidR="00254765" w:rsidRPr="00245146">
        <w:rPr>
          <w:rFonts w:ascii="Arial Narrow" w:hAnsi="Arial Narrow" w:cstheme="minorHAnsi"/>
          <w:bCs/>
          <w:lang w:val="es-MX"/>
        </w:rPr>
        <w:t>estadística</w:t>
      </w:r>
      <w:r w:rsidRPr="00245146">
        <w:rPr>
          <w:rFonts w:ascii="Arial Narrow" w:hAnsi="Arial Narrow" w:cstheme="minorHAnsi"/>
          <w:bCs/>
          <w:lang w:val="es-MX"/>
        </w:rPr>
        <w:t>.</w:t>
      </w:r>
    </w:p>
    <w:p w14:paraId="03582D45" w14:textId="4EA9E9FF" w:rsidR="00B11552" w:rsidRPr="00B11552" w:rsidRDefault="00667313" w:rsidP="00B11552">
      <w:pPr>
        <w:ind w:left="426"/>
        <w:jc w:val="both"/>
        <w:rPr>
          <w:rFonts w:ascii="Arial Narrow" w:hAnsi="Arial Narrow" w:cstheme="minorHAnsi"/>
          <w:bCs/>
        </w:rPr>
      </w:pPr>
      <w:r>
        <w:rPr>
          <w:rFonts w:ascii="Arial Narrow" w:hAnsi="Arial Narrow" w:cstheme="minorHAnsi"/>
          <w:bCs/>
          <w:lang w:val="es-MX"/>
        </w:rPr>
        <w:t xml:space="preserve">En relación </w:t>
      </w:r>
      <w:r w:rsidR="00565567" w:rsidRPr="00667313">
        <w:rPr>
          <w:rFonts w:ascii="Arial Narrow" w:hAnsi="Arial Narrow" w:cstheme="minorHAnsi"/>
          <w:bCs/>
        </w:rPr>
        <w:t>generación</w:t>
      </w:r>
      <w:r w:rsidRPr="00667313">
        <w:rPr>
          <w:rFonts w:ascii="Arial Narrow" w:hAnsi="Arial Narrow" w:cstheme="minorHAnsi"/>
          <w:bCs/>
        </w:rPr>
        <w:t xml:space="preserve"> de capacidades y consolidación de una cultura exportadora</w:t>
      </w:r>
      <w:r w:rsidR="00565567">
        <w:rPr>
          <w:rFonts w:ascii="Arial Narrow" w:hAnsi="Arial Narrow" w:cstheme="minorHAnsi"/>
          <w:bCs/>
        </w:rPr>
        <w:t>, s</w:t>
      </w:r>
      <w:r w:rsidR="00B11552" w:rsidRPr="00B11552">
        <w:rPr>
          <w:rFonts w:ascii="Arial Narrow" w:hAnsi="Arial Narrow" w:cstheme="minorHAnsi"/>
          <w:bCs/>
        </w:rPr>
        <w:t xml:space="preserve">e realizó la VII Edición </w:t>
      </w:r>
      <w:r w:rsidR="00B11552" w:rsidRPr="0059783D">
        <w:rPr>
          <w:rFonts w:ascii="Arial Narrow" w:hAnsi="Arial Narrow" w:cstheme="minorHAnsi"/>
          <w:bCs/>
        </w:rPr>
        <w:t>del Curso</w:t>
      </w:r>
      <w:r w:rsidR="009D67E2" w:rsidRPr="0059783D">
        <w:rPr>
          <w:rFonts w:ascii="Arial Narrow" w:hAnsi="Arial Narrow" w:cstheme="minorHAnsi"/>
          <w:bCs/>
        </w:rPr>
        <w:t xml:space="preserve"> de Negociaciones Comerciales Internacionales</w:t>
      </w:r>
      <w:r w:rsidR="00B11552" w:rsidRPr="0059783D">
        <w:rPr>
          <w:rFonts w:ascii="Arial Narrow" w:hAnsi="Arial Narrow" w:cstheme="minorHAnsi"/>
          <w:bCs/>
        </w:rPr>
        <w:t xml:space="preserve"> donde postularon 2</w:t>
      </w:r>
      <w:r w:rsidR="00B11552" w:rsidRPr="00B11552">
        <w:rPr>
          <w:rFonts w:ascii="Arial Narrow" w:hAnsi="Arial Narrow" w:cstheme="minorHAnsi"/>
          <w:bCs/>
        </w:rPr>
        <w:t>96 jóvenes, ingresando 30 participantes de 11 universidades.</w:t>
      </w:r>
      <w:r w:rsidR="003C1DFA">
        <w:rPr>
          <w:rFonts w:ascii="Arial Narrow" w:hAnsi="Arial Narrow" w:cstheme="minorHAnsi"/>
          <w:bCs/>
        </w:rPr>
        <w:t xml:space="preserve"> </w:t>
      </w:r>
      <w:r w:rsidR="00254765">
        <w:rPr>
          <w:rFonts w:ascii="Arial Narrow" w:hAnsi="Arial Narrow" w:cstheme="minorHAnsi"/>
          <w:bCs/>
        </w:rPr>
        <w:t>S</w:t>
      </w:r>
      <w:r w:rsidR="003C1DFA" w:rsidRPr="003C1DFA">
        <w:rPr>
          <w:rFonts w:ascii="Arial Narrow" w:hAnsi="Arial Narrow" w:cstheme="minorHAnsi"/>
          <w:bCs/>
        </w:rPr>
        <w:t>e logró certificar 232 aprobaciones de cursos de capacitación</w:t>
      </w:r>
      <w:r w:rsidR="003C1DFA">
        <w:rPr>
          <w:rFonts w:ascii="Arial Narrow" w:hAnsi="Arial Narrow" w:cstheme="minorHAnsi"/>
          <w:bCs/>
        </w:rPr>
        <w:t xml:space="preserve">, en el marco del </w:t>
      </w:r>
      <w:r w:rsidR="003C1DFA" w:rsidRPr="003C1DFA">
        <w:rPr>
          <w:rFonts w:ascii="Arial Narrow" w:hAnsi="Arial Narrow" w:cstheme="minorHAnsi"/>
          <w:bCs/>
        </w:rPr>
        <w:t>Programa de Adiestramiento para la Generación de Capacidades y Competencias en Comercio Exterior</w:t>
      </w:r>
      <w:r w:rsidR="003C1DFA">
        <w:rPr>
          <w:rFonts w:ascii="Arial Narrow" w:hAnsi="Arial Narrow" w:cstheme="minorHAnsi"/>
          <w:bCs/>
        </w:rPr>
        <w:t xml:space="preserve">, a través de </w:t>
      </w:r>
      <w:r w:rsidR="00B11552" w:rsidRPr="00B11552">
        <w:rPr>
          <w:rFonts w:ascii="Arial Narrow" w:hAnsi="Arial Narrow" w:cstheme="minorHAnsi"/>
          <w:bCs/>
        </w:rPr>
        <w:t>la plataforma de capacitación a distancia “Aula virtual MINCETUR”</w:t>
      </w:r>
      <w:r w:rsidR="003C1DFA">
        <w:rPr>
          <w:rFonts w:ascii="Arial Narrow" w:hAnsi="Arial Narrow" w:cstheme="minorHAnsi"/>
          <w:bCs/>
        </w:rPr>
        <w:t xml:space="preserve">. En relación al </w:t>
      </w:r>
      <w:r w:rsidR="003C1DFA" w:rsidRPr="003C1DFA">
        <w:rPr>
          <w:rFonts w:ascii="Arial Narrow" w:hAnsi="Arial Narrow" w:cstheme="minorHAnsi"/>
          <w:bCs/>
        </w:rPr>
        <w:t>Programa de Mejora de la Gestión Empresarial para la exportación</w:t>
      </w:r>
      <w:r w:rsidR="003C1DFA">
        <w:rPr>
          <w:rFonts w:ascii="Arial Narrow" w:hAnsi="Arial Narrow" w:cstheme="minorHAnsi"/>
          <w:bCs/>
        </w:rPr>
        <w:t>, s</w:t>
      </w:r>
      <w:r w:rsidR="00B11552" w:rsidRPr="00B11552">
        <w:rPr>
          <w:rFonts w:ascii="Arial Narrow" w:hAnsi="Arial Narrow" w:cstheme="minorHAnsi"/>
          <w:bCs/>
        </w:rPr>
        <w:t xml:space="preserve">e realizaron 230 servicios de fortalecimiento de capacidades dirigidos a empresas y organizaciones exportadoras y con potencial exportador de 21 regiones del país, logrando beneficiar a más de 10,000 empresarios y funcionarios a nivel nacional. </w:t>
      </w:r>
    </w:p>
    <w:p w14:paraId="3D0753E9" w14:textId="646FE226" w:rsidR="00823C7F" w:rsidRDefault="00823C7F" w:rsidP="00823C7F">
      <w:pPr>
        <w:ind w:left="426"/>
        <w:rPr>
          <w:rFonts w:ascii="Arial Narrow" w:hAnsi="Arial Narrow" w:cstheme="minorHAnsi"/>
          <w:b/>
        </w:rPr>
      </w:pPr>
      <w:r w:rsidRPr="004C52FE">
        <w:rPr>
          <w:rFonts w:ascii="Arial Narrow" w:hAnsi="Arial Narrow" w:cstheme="minorHAnsi"/>
          <w:b/>
        </w:rPr>
        <w:t>O</w:t>
      </w:r>
      <w:r>
        <w:rPr>
          <w:rFonts w:ascii="Arial Narrow" w:hAnsi="Arial Narrow" w:cstheme="minorHAnsi"/>
          <w:b/>
        </w:rPr>
        <w:t xml:space="preserve">bjetivo Estratégico </w:t>
      </w:r>
      <w:r w:rsidRPr="004C52FE">
        <w:rPr>
          <w:rFonts w:ascii="Arial Narrow" w:hAnsi="Arial Narrow" w:cstheme="minorHAnsi"/>
          <w:b/>
        </w:rPr>
        <w:t>0</w:t>
      </w:r>
      <w:r>
        <w:rPr>
          <w:rFonts w:ascii="Arial Narrow" w:hAnsi="Arial Narrow" w:cstheme="minorHAnsi"/>
          <w:b/>
        </w:rPr>
        <w:t>3</w:t>
      </w:r>
      <w:r w:rsidRPr="004C52FE">
        <w:rPr>
          <w:rFonts w:ascii="Arial Narrow" w:hAnsi="Arial Narrow" w:cstheme="minorHAnsi"/>
          <w:b/>
        </w:rPr>
        <w:t xml:space="preserve">. </w:t>
      </w:r>
      <w:r w:rsidRPr="00823C7F">
        <w:rPr>
          <w:rFonts w:ascii="Arial Narrow" w:hAnsi="Arial Narrow" w:cstheme="minorHAnsi"/>
          <w:b/>
        </w:rPr>
        <w:t>Mejorar la</w:t>
      </w:r>
      <w:r>
        <w:rPr>
          <w:rFonts w:ascii="Arial Narrow" w:hAnsi="Arial Narrow" w:cstheme="minorHAnsi"/>
          <w:b/>
        </w:rPr>
        <w:t xml:space="preserve"> </w:t>
      </w:r>
      <w:r w:rsidRPr="00823C7F">
        <w:rPr>
          <w:rFonts w:ascii="Arial Narrow" w:hAnsi="Arial Narrow" w:cstheme="minorHAnsi"/>
          <w:b/>
        </w:rPr>
        <w:t>competitividad del sector exportador.</w:t>
      </w:r>
    </w:p>
    <w:p w14:paraId="3343BAA0" w14:textId="44AEAADE" w:rsidR="00823C7F" w:rsidRDefault="00EE1664" w:rsidP="00215680">
      <w:pPr>
        <w:ind w:left="426"/>
        <w:jc w:val="both"/>
        <w:rPr>
          <w:rFonts w:ascii="Arial" w:hAnsi="Arial" w:cs="Arial"/>
          <w:bCs/>
        </w:rPr>
      </w:pPr>
      <w:r>
        <w:rPr>
          <w:rFonts w:ascii="Arial Narrow" w:hAnsi="Arial Narrow" w:cstheme="minorHAnsi"/>
          <w:bCs/>
        </w:rPr>
        <w:t>L</w:t>
      </w:r>
      <w:r w:rsidR="00215680" w:rsidRPr="00215680">
        <w:rPr>
          <w:rFonts w:ascii="Arial Narrow" w:hAnsi="Arial Narrow" w:cstheme="minorHAnsi"/>
          <w:bCs/>
        </w:rPr>
        <w:t xml:space="preserve">a Ventanilla Única de Comercio Exterior </w:t>
      </w:r>
      <w:r>
        <w:rPr>
          <w:rFonts w:ascii="Arial Narrow" w:hAnsi="Arial Narrow" w:cstheme="minorHAnsi"/>
          <w:bCs/>
        </w:rPr>
        <w:t>(</w:t>
      </w:r>
      <w:r w:rsidR="00215680" w:rsidRPr="00215680">
        <w:rPr>
          <w:rFonts w:ascii="Arial Narrow" w:hAnsi="Arial Narrow" w:cstheme="minorHAnsi"/>
          <w:bCs/>
        </w:rPr>
        <w:t>VUCE</w:t>
      </w:r>
      <w:r>
        <w:rPr>
          <w:rFonts w:ascii="Arial Narrow" w:hAnsi="Arial Narrow" w:cstheme="minorHAnsi"/>
          <w:bCs/>
        </w:rPr>
        <w:t xml:space="preserve">) es </w:t>
      </w:r>
      <w:r w:rsidR="00215680" w:rsidRPr="00215680">
        <w:rPr>
          <w:rFonts w:ascii="Arial Narrow" w:hAnsi="Arial Narrow" w:cstheme="minorHAnsi"/>
          <w:bCs/>
        </w:rPr>
        <w:t xml:space="preserve">un sistema integrado que permite, a través de medios electrónicos, a las partes involucradas en el comercio exterior y el transporte internacional, intercambiar la información requerida o relevante para el ingreso, la salida o el tránsito de las mercancías y de los medios de transporte desde o hacia el territorio nacional; así como posibilita a los </w:t>
      </w:r>
      <w:r w:rsidR="00215680" w:rsidRPr="00215680">
        <w:rPr>
          <w:rFonts w:ascii="Arial Narrow" w:hAnsi="Arial Narrow" w:cstheme="minorHAnsi"/>
          <w:bCs/>
        </w:rPr>
        <w:lastRenderedPageBreak/>
        <w:t>usuarios gestionar la documentación e información respecto a los procedimientos y servicios relacionados al comercio exterior que son tramitados por el sistema.</w:t>
      </w:r>
      <w:r w:rsidR="00215680" w:rsidRPr="00215680">
        <w:rPr>
          <w:rFonts w:ascii="Arial" w:hAnsi="Arial" w:cs="Arial"/>
          <w:bCs/>
        </w:rPr>
        <w:t>​</w:t>
      </w:r>
    </w:p>
    <w:p w14:paraId="2AD478C5" w14:textId="1DDC5E86" w:rsidR="00825E1A" w:rsidRDefault="00CF1682" w:rsidP="00215680">
      <w:pPr>
        <w:ind w:left="426"/>
        <w:jc w:val="both"/>
        <w:rPr>
          <w:rFonts w:ascii="Arial Narrow" w:hAnsi="Arial Narrow" w:cstheme="minorHAnsi"/>
          <w:bCs/>
        </w:rPr>
      </w:pPr>
      <w:r>
        <w:rPr>
          <w:rFonts w:ascii="Arial Narrow" w:hAnsi="Arial Narrow" w:cstheme="minorHAnsi"/>
          <w:bCs/>
        </w:rPr>
        <w:t xml:space="preserve">Al 2020, </w:t>
      </w:r>
      <w:r w:rsidR="00825E1A">
        <w:rPr>
          <w:rFonts w:ascii="Arial Narrow" w:hAnsi="Arial Narrow" w:cstheme="minorHAnsi"/>
          <w:bCs/>
        </w:rPr>
        <w:t>se incorporaron 281 procedimientos administrativos al componente de mercancías restringidas de la VUCE, con un total de 72 254 usuarios, generando ahorros acumulados de S/ 465,3 millones, alcanzando los 2 326 440 trámites realizados desde el inicio de operación. En el componente de origen, se han emitido 1 354 847 certificados de origen desde su inicio de operación y ha generado ahorros acumulados de S/ 334,7 millones. Respecto al componente portuario, ha generado ahorros acumulados de S/ 45,8 millones.</w:t>
      </w:r>
    </w:p>
    <w:p w14:paraId="7BDDE548" w14:textId="4B13AF16" w:rsidR="00EE1664" w:rsidRDefault="00825E1A" w:rsidP="00825E1A">
      <w:pPr>
        <w:ind w:left="426"/>
        <w:jc w:val="both"/>
        <w:rPr>
          <w:rFonts w:ascii="Arial Narrow" w:hAnsi="Arial Narrow" w:cstheme="minorHAnsi"/>
          <w:bCs/>
        </w:rPr>
      </w:pPr>
      <w:r w:rsidRPr="00825E1A">
        <w:rPr>
          <w:rFonts w:ascii="Arial Narrow" w:hAnsi="Arial Narrow" w:cstheme="minorHAnsi"/>
          <w:bCs/>
        </w:rPr>
        <w:t>El 03 de agosto de 2020</w:t>
      </w:r>
      <w:r>
        <w:rPr>
          <w:rFonts w:ascii="Arial Narrow" w:hAnsi="Arial Narrow" w:cstheme="minorHAnsi"/>
          <w:bCs/>
        </w:rPr>
        <w:t xml:space="preserve">, se publicó </w:t>
      </w:r>
      <w:r w:rsidRPr="00825E1A">
        <w:rPr>
          <w:rFonts w:ascii="Arial Narrow" w:hAnsi="Arial Narrow" w:cstheme="minorHAnsi"/>
          <w:bCs/>
        </w:rPr>
        <w:t>el Reglamento de la Ley Nº 30860, Ley de Fortalecimiento de la Ventanilla Única de Comercio Exterior</w:t>
      </w:r>
      <w:r>
        <w:rPr>
          <w:rFonts w:ascii="Arial Narrow" w:hAnsi="Arial Narrow" w:cstheme="minorHAnsi"/>
          <w:bCs/>
        </w:rPr>
        <w:t>,</w:t>
      </w:r>
      <w:r w:rsidRPr="00825E1A">
        <w:rPr>
          <w:rFonts w:ascii="Arial Narrow" w:hAnsi="Arial Narrow" w:cstheme="minorHAnsi"/>
          <w:bCs/>
        </w:rPr>
        <w:t xml:space="preserve"> aprobado por Decreto Supremo Nº 008-2020-MINCETUR</w:t>
      </w:r>
      <w:r>
        <w:rPr>
          <w:rFonts w:ascii="Arial Narrow" w:hAnsi="Arial Narrow" w:cstheme="minorHAnsi"/>
          <w:bCs/>
        </w:rPr>
        <w:t xml:space="preserve">, el cual </w:t>
      </w:r>
      <w:r w:rsidRPr="00825E1A">
        <w:rPr>
          <w:rFonts w:ascii="Arial Narrow" w:hAnsi="Arial Narrow" w:cstheme="minorHAnsi"/>
          <w:bCs/>
        </w:rPr>
        <w:t xml:space="preserve">permite establecer el marco operativo y conceptual de los nuevos servicios que ofrecerá la VUCE que, entre otras ventajas, </w:t>
      </w:r>
      <w:r w:rsidR="009C4EFB">
        <w:rPr>
          <w:rFonts w:ascii="Arial Narrow" w:hAnsi="Arial Narrow" w:cstheme="minorHAnsi"/>
          <w:bCs/>
        </w:rPr>
        <w:t xml:space="preserve">se </w:t>
      </w:r>
      <w:r w:rsidRPr="00825E1A">
        <w:rPr>
          <w:rFonts w:ascii="Arial Narrow" w:hAnsi="Arial Narrow" w:cstheme="minorHAnsi"/>
          <w:bCs/>
        </w:rPr>
        <w:t xml:space="preserve">tiene el </w:t>
      </w:r>
      <w:r w:rsidR="009C4EFB">
        <w:rPr>
          <w:rFonts w:ascii="Arial Narrow" w:hAnsi="Arial Narrow" w:cstheme="minorHAnsi"/>
          <w:bCs/>
        </w:rPr>
        <w:t xml:space="preserve">de </w:t>
      </w:r>
      <w:r w:rsidRPr="00825E1A">
        <w:rPr>
          <w:rFonts w:ascii="Arial Narrow" w:hAnsi="Arial Narrow" w:cstheme="minorHAnsi"/>
          <w:bCs/>
        </w:rPr>
        <w:t xml:space="preserve">reducir la asimetría de la información y mejorar las operaciones de toda la cadena logística. </w:t>
      </w:r>
      <w:r>
        <w:rPr>
          <w:rFonts w:ascii="Arial Narrow" w:hAnsi="Arial Narrow" w:cstheme="minorHAnsi"/>
          <w:bCs/>
        </w:rPr>
        <w:t>Asimismo</w:t>
      </w:r>
      <w:r w:rsidRPr="00825E1A">
        <w:rPr>
          <w:rFonts w:ascii="Arial Narrow" w:hAnsi="Arial Narrow" w:cstheme="minorHAnsi"/>
          <w:bCs/>
        </w:rPr>
        <w:t xml:space="preserve">, el Reglamento permite consolidar y actualizar las normas de operación de la VUCE, sistematizándolas y mejorando su tratamiento. </w:t>
      </w:r>
    </w:p>
    <w:p w14:paraId="3E24C794" w14:textId="7B720550" w:rsidR="00EF78EC" w:rsidRDefault="00EF78EC" w:rsidP="00EF78EC">
      <w:pPr>
        <w:ind w:left="426"/>
        <w:jc w:val="both"/>
        <w:rPr>
          <w:rFonts w:ascii="Arial Narrow" w:hAnsi="Arial Narrow" w:cstheme="minorHAnsi"/>
          <w:bCs/>
        </w:rPr>
      </w:pPr>
      <w:r w:rsidRPr="00EF78EC">
        <w:rPr>
          <w:rFonts w:ascii="Arial Narrow" w:hAnsi="Arial Narrow" w:cstheme="minorHAnsi"/>
          <w:bCs/>
        </w:rPr>
        <w:t>El 30 de junio de 2020, mediante Decreto Supremo N° 007-2020-MINCETUR, fue aprobado el Reglamento del artículo 10 de la Ley N° 28977, para la implementación del Módulo de Información sobre los Servicios de Logística de Comercio Exterior</w:t>
      </w:r>
      <w:r>
        <w:rPr>
          <w:rFonts w:ascii="Arial Narrow" w:hAnsi="Arial Narrow" w:cstheme="minorHAnsi"/>
          <w:bCs/>
        </w:rPr>
        <w:t xml:space="preserve"> (MISLO), el cual </w:t>
      </w:r>
      <w:r w:rsidRPr="00EF78EC">
        <w:rPr>
          <w:rFonts w:ascii="Arial Narrow" w:hAnsi="Arial Narrow" w:cstheme="minorHAnsi"/>
          <w:bCs/>
        </w:rPr>
        <w:t>se encuentra en operación en la VUCE desde el 15 de setiembre de 2020. Cabe indicar que, al 2020, 59 agencias de aduanas registraron sus tarifarios en este Módulo, 134 tarifarios.</w:t>
      </w:r>
    </w:p>
    <w:p w14:paraId="4A9EFF3E" w14:textId="3DF8ED0F" w:rsidR="00EF78EC" w:rsidRDefault="00EF78EC" w:rsidP="00EF78EC">
      <w:pPr>
        <w:ind w:left="426"/>
        <w:jc w:val="both"/>
        <w:rPr>
          <w:rFonts w:ascii="Arial Narrow" w:hAnsi="Arial Narrow" w:cstheme="minorHAnsi"/>
          <w:bCs/>
        </w:rPr>
      </w:pPr>
      <w:r>
        <w:rPr>
          <w:rFonts w:ascii="Arial Narrow" w:hAnsi="Arial Narrow" w:cstheme="minorHAnsi"/>
          <w:bCs/>
        </w:rPr>
        <w:t>E</w:t>
      </w:r>
      <w:r w:rsidRPr="00EF78EC">
        <w:rPr>
          <w:rFonts w:ascii="Arial Narrow" w:hAnsi="Arial Narrow" w:cstheme="minorHAnsi"/>
          <w:bCs/>
        </w:rPr>
        <w:t>n el marco del Decreto Legislativo N°</w:t>
      </w:r>
      <w:r>
        <w:rPr>
          <w:rFonts w:ascii="Arial Narrow" w:hAnsi="Arial Narrow" w:cstheme="minorHAnsi"/>
          <w:bCs/>
        </w:rPr>
        <w:t xml:space="preserve"> </w:t>
      </w:r>
      <w:r w:rsidRPr="00EF78EC">
        <w:rPr>
          <w:rFonts w:ascii="Arial Narrow" w:hAnsi="Arial Narrow" w:cstheme="minorHAnsi"/>
          <w:bCs/>
        </w:rPr>
        <w:t>1492 publicado e</w:t>
      </w:r>
      <w:r>
        <w:rPr>
          <w:rFonts w:ascii="Arial Narrow" w:hAnsi="Arial Narrow" w:cstheme="minorHAnsi"/>
          <w:bCs/>
        </w:rPr>
        <w:t>l 10 de</w:t>
      </w:r>
      <w:r w:rsidRPr="00EF78EC">
        <w:rPr>
          <w:rFonts w:ascii="Arial Narrow" w:hAnsi="Arial Narrow" w:cstheme="minorHAnsi"/>
          <w:bCs/>
        </w:rPr>
        <w:t xml:space="preserve"> mayo de 2020, se implementó el</w:t>
      </w:r>
      <w:r>
        <w:rPr>
          <w:rFonts w:ascii="Arial Narrow" w:hAnsi="Arial Narrow" w:cstheme="minorHAnsi"/>
          <w:bCs/>
        </w:rPr>
        <w:t xml:space="preserve"> </w:t>
      </w:r>
      <w:r w:rsidRPr="00EF78EC">
        <w:rPr>
          <w:rFonts w:ascii="Arial Narrow" w:hAnsi="Arial Narrow" w:cstheme="minorHAnsi"/>
          <w:bCs/>
        </w:rPr>
        <w:t>Módulo de Intercambio de Información entre Operadores</w:t>
      </w:r>
      <w:r>
        <w:rPr>
          <w:rFonts w:ascii="Arial Narrow" w:hAnsi="Arial Narrow" w:cstheme="minorHAnsi"/>
          <w:bCs/>
        </w:rPr>
        <w:t xml:space="preserve"> (</w:t>
      </w:r>
      <w:r w:rsidRPr="00EF78EC">
        <w:rPr>
          <w:rFonts w:ascii="Arial Narrow" w:hAnsi="Arial Narrow" w:cstheme="minorHAnsi"/>
          <w:bCs/>
        </w:rPr>
        <w:t>MIIO</w:t>
      </w:r>
      <w:r>
        <w:rPr>
          <w:rFonts w:ascii="Arial Narrow" w:hAnsi="Arial Narrow" w:cstheme="minorHAnsi"/>
          <w:bCs/>
        </w:rPr>
        <w:t>)</w:t>
      </w:r>
      <w:r w:rsidRPr="00EF78EC">
        <w:rPr>
          <w:rFonts w:ascii="Arial Narrow" w:hAnsi="Arial Narrow" w:cstheme="minorHAnsi"/>
          <w:bCs/>
        </w:rPr>
        <w:t xml:space="preserve"> referido </w:t>
      </w:r>
      <w:r w:rsidR="009C4EFB">
        <w:rPr>
          <w:rFonts w:ascii="Arial Narrow" w:hAnsi="Arial Narrow" w:cstheme="minorHAnsi"/>
          <w:bCs/>
        </w:rPr>
        <w:t xml:space="preserve">al </w:t>
      </w:r>
      <w:r w:rsidRPr="00EF78EC">
        <w:rPr>
          <w:rFonts w:ascii="Arial Narrow" w:hAnsi="Arial Narrow" w:cstheme="minorHAnsi"/>
          <w:bCs/>
        </w:rPr>
        <w:t>módulo en la VUCE, a fin de permitir que el conocimiento de embarque, documento de transporte marítimo, se pueda endosar en procuración por medios electrónicos, a fin de facilitar que los agentes de aduanas puedan realizar las gestiones necesarias ante los agentes de carga y agentes marítimos para la entrega de la carga marítima, sin necesidad de desplazamiento físico.</w:t>
      </w:r>
    </w:p>
    <w:p w14:paraId="6E8BE0A0" w14:textId="11AB2C5F" w:rsidR="00EF78EC" w:rsidRDefault="00EF78EC" w:rsidP="00EF78EC">
      <w:pPr>
        <w:ind w:left="426"/>
        <w:jc w:val="both"/>
        <w:rPr>
          <w:rFonts w:ascii="Arial Narrow" w:hAnsi="Arial Narrow" w:cstheme="minorHAnsi"/>
          <w:bCs/>
        </w:rPr>
      </w:pPr>
      <w:r w:rsidRPr="00EF78EC">
        <w:rPr>
          <w:rFonts w:ascii="Arial Narrow" w:hAnsi="Arial Narrow" w:cstheme="minorHAnsi"/>
          <w:bCs/>
        </w:rPr>
        <w:t>Al cierre del 2020</w:t>
      </w:r>
      <w:r>
        <w:rPr>
          <w:rFonts w:ascii="Arial Narrow" w:hAnsi="Arial Narrow" w:cstheme="minorHAnsi"/>
          <w:bCs/>
        </w:rPr>
        <w:t>,</w:t>
      </w:r>
      <w:r w:rsidRPr="00EF78EC">
        <w:rPr>
          <w:rFonts w:ascii="Arial Narrow" w:hAnsi="Arial Narrow" w:cstheme="minorHAnsi"/>
          <w:bCs/>
        </w:rPr>
        <w:t xml:space="preserve"> </w:t>
      </w:r>
      <w:r>
        <w:rPr>
          <w:rFonts w:ascii="Arial Narrow" w:hAnsi="Arial Narrow" w:cstheme="minorHAnsi"/>
          <w:bCs/>
        </w:rPr>
        <w:t xml:space="preserve">en el marco del Programa de Apoyo a la Internacionalización (PAI), se </w:t>
      </w:r>
      <w:r w:rsidRPr="00EF78EC">
        <w:rPr>
          <w:rFonts w:ascii="Arial Narrow" w:hAnsi="Arial Narrow" w:cstheme="minorHAnsi"/>
          <w:bCs/>
        </w:rPr>
        <w:t>logró apoyar a empresas exportadoras procedentes de 13 regiones (Lima, Junín, San Martín, Piura, Lambayeque, La Libertad, Cusco, Arequipa, Ayacucho, Madre de Dios, Tacna, Amazonas y Cajamarca), con proyectos de internacionalización hacia 25 países de los 5 continentes.</w:t>
      </w:r>
      <w:r>
        <w:rPr>
          <w:rFonts w:ascii="Arial Narrow" w:hAnsi="Arial Narrow" w:cstheme="minorHAnsi"/>
          <w:bCs/>
        </w:rPr>
        <w:t xml:space="preserve"> </w:t>
      </w:r>
      <w:r w:rsidRPr="00EF78EC">
        <w:rPr>
          <w:rFonts w:ascii="Arial Narrow" w:hAnsi="Arial Narrow" w:cstheme="minorHAnsi"/>
          <w:bCs/>
        </w:rPr>
        <w:t xml:space="preserve">Desde su creación en el 2017 hasta octubre de 2020, se realizó la difusión del Programa en 70 eventos, llegando a más de 21 regiones del interior del país, para informar sobre los beneficios, requisitos, modalidades y otras características del PAI y sobre el lanzamiento de la segunda etapa del PAI en el 2021. </w:t>
      </w:r>
    </w:p>
    <w:p w14:paraId="6580BB9F" w14:textId="3F106CFC" w:rsidR="00EF78EC" w:rsidRDefault="00EF78EC" w:rsidP="00EF78EC">
      <w:pPr>
        <w:ind w:left="426"/>
        <w:jc w:val="both"/>
        <w:rPr>
          <w:rFonts w:ascii="Arial Narrow" w:hAnsi="Arial Narrow" w:cstheme="minorHAnsi"/>
          <w:bCs/>
        </w:rPr>
      </w:pPr>
      <w:r w:rsidRPr="00EF78EC">
        <w:rPr>
          <w:rFonts w:ascii="Arial Narrow" w:hAnsi="Arial Narrow" w:cstheme="minorHAnsi"/>
          <w:bCs/>
        </w:rPr>
        <w:t xml:space="preserve">A diciembre 2020, se contó con 21 entidades delegadas a nivel nacional para la emisión de certificados de origen. </w:t>
      </w:r>
      <w:r w:rsidR="009C4EFB">
        <w:rPr>
          <w:rFonts w:ascii="Arial Narrow" w:hAnsi="Arial Narrow" w:cstheme="minorHAnsi"/>
          <w:bCs/>
        </w:rPr>
        <w:t>En este año, s</w:t>
      </w:r>
      <w:r w:rsidRPr="00EF78EC">
        <w:rPr>
          <w:rFonts w:ascii="Arial Narrow" w:hAnsi="Arial Narrow" w:cstheme="minorHAnsi"/>
          <w:bCs/>
        </w:rPr>
        <w:t xml:space="preserve">e renovó la delegación a la Asociación de Exportadores, Cámara de Comercio y Producción de la Provincia del Santa y Cámara de Producción, Comercio, Turismo y Servicios de Paita. Se otorgó la delegación a </w:t>
      </w:r>
      <w:r>
        <w:rPr>
          <w:rFonts w:ascii="Arial Narrow" w:hAnsi="Arial Narrow" w:cstheme="minorHAnsi"/>
          <w:bCs/>
        </w:rPr>
        <w:t xml:space="preserve">2 </w:t>
      </w:r>
      <w:r w:rsidRPr="00EF78EC">
        <w:rPr>
          <w:rFonts w:ascii="Arial Narrow" w:hAnsi="Arial Narrow" w:cstheme="minorHAnsi"/>
          <w:bCs/>
        </w:rPr>
        <w:t>nuevas entidades: la Cámara de Comercio, Industria y Turismo de Ucayali, y la Cámara de Comercio, Industrias y Turismo de Loreto (en proceso de implementación). Asimismo, se realizaron 8 supervisiones a las entidades delegadas en Lima y 32 supervisiones a las entidades delegadas en regiones, con la finalidad de verificar el cumplimiento de las obligaciones establecidas en los convenios de delegación que suscribieron con el MINCETUR.</w:t>
      </w:r>
    </w:p>
    <w:p w14:paraId="1A62EBC0" w14:textId="5F638441" w:rsidR="00EF78EC" w:rsidRDefault="009C4EFB" w:rsidP="00EF78EC">
      <w:pPr>
        <w:ind w:left="426"/>
        <w:jc w:val="both"/>
        <w:rPr>
          <w:rFonts w:ascii="Arial Narrow" w:hAnsi="Arial Narrow" w:cstheme="minorHAnsi"/>
          <w:bCs/>
        </w:rPr>
      </w:pPr>
      <w:r>
        <w:rPr>
          <w:rFonts w:ascii="Arial Narrow" w:hAnsi="Arial Narrow" w:cstheme="minorHAnsi"/>
          <w:bCs/>
        </w:rPr>
        <w:t xml:space="preserve">Asimismo, en el 2020, </w:t>
      </w:r>
      <w:r w:rsidR="00EF78EC" w:rsidRPr="00EF78EC">
        <w:rPr>
          <w:rFonts w:ascii="Arial Narrow" w:hAnsi="Arial Narrow" w:cstheme="minorHAnsi"/>
          <w:bCs/>
        </w:rPr>
        <w:t>se emitieron 191</w:t>
      </w:r>
      <w:r w:rsidR="00EF78EC">
        <w:rPr>
          <w:rFonts w:ascii="Arial Narrow" w:hAnsi="Arial Narrow" w:cstheme="minorHAnsi"/>
          <w:bCs/>
        </w:rPr>
        <w:t xml:space="preserve"> </w:t>
      </w:r>
      <w:r w:rsidR="00EF78EC" w:rsidRPr="00EF78EC">
        <w:rPr>
          <w:rFonts w:ascii="Arial Narrow" w:hAnsi="Arial Narrow" w:cstheme="minorHAnsi"/>
          <w:bCs/>
        </w:rPr>
        <w:t>213 certificados de origen a nivel nacional, en el marco de los acuerdos comerciales internacionales de los que el Perú es Parte y los sistemas de preferencias arancelarias de los que es beneficiario. Asimismo, durante la pandemia de la COVID-19</w:t>
      </w:r>
      <w:r>
        <w:rPr>
          <w:rFonts w:ascii="Arial Narrow" w:hAnsi="Arial Narrow" w:cstheme="minorHAnsi"/>
          <w:bCs/>
        </w:rPr>
        <w:t>,</w:t>
      </w:r>
      <w:r w:rsidR="00EF78EC" w:rsidRPr="00EF78EC">
        <w:rPr>
          <w:rFonts w:ascii="Arial Narrow" w:hAnsi="Arial Narrow" w:cstheme="minorHAnsi"/>
          <w:bCs/>
        </w:rPr>
        <w:t xml:space="preserve"> se gestionó con nuestras contrapartes comerciales la aceptación de copias de los certificados de origen con firmas escaneadas. </w:t>
      </w:r>
    </w:p>
    <w:p w14:paraId="07D5A010" w14:textId="77777777" w:rsidR="00B11C21" w:rsidRPr="00EF78EC" w:rsidRDefault="00B11C21" w:rsidP="00EF78EC">
      <w:pPr>
        <w:ind w:left="426"/>
        <w:jc w:val="both"/>
        <w:rPr>
          <w:rFonts w:ascii="Arial Narrow" w:hAnsi="Arial Narrow" w:cstheme="minorHAnsi"/>
          <w:bCs/>
        </w:rPr>
      </w:pPr>
    </w:p>
    <w:p w14:paraId="2FBDAE1D" w14:textId="4A6A8253" w:rsidR="00C15260" w:rsidRDefault="004507EA" w:rsidP="00C15260">
      <w:pPr>
        <w:pStyle w:val="Prrafodelista"/>
        <w:numPr>
          <w:ilvl w:val="0"/>
          <w:numId w:val="5"/>
        </w:numPr>
        <w:ind w:left="284" w:hanging="218"/>
        <w:rPr>
          <w:rFonts w:ascii="Arial Narrow" w:hAnsi="Arial Narrow" w:cstheme="minorHAnsi"/>
          <w:b/>
        </w:rPr>
      </w:pPr>
      <w:r w:rsidRPr="004C52FE">
        <w:rPr>
          <w:rFonts w:ascii="Arial Narrow" w:hAnsi="Arial Narrow" w:cstheme="minorHAnsi"/>
          <w:b/>
        </w:rPr>
        <w:lastRenderedPageBreak/>
        <w:t>Alternativas para mejorar el cumplimiento e implementación de la política nacional</w:t>
      </w:r>
    </w:p>
    <w:p w14:paraId="43C1BC31" w14:textId="621CB88E" w:rsidR="0088220E" w:rsidRPr="0088220E" w:rsidRDefault="0088220E" w:rsidP="0088220E">
      <w:pPr>
        <w:ind w:left="426"/>
        <w:jc w:val="both"/>
        <w:rPr>
          <w:rFonts w:ascii="Arial Narrow" w:hAnsi="Arial Narrow" w:cstheme="minorHAnsi"/>
          <w:bCs/>
        </w:rPr>
      </w:pPr>
      <w:r w:rsidRPr="0088220E">
        <w:rPr>
          <w:rFonts w:ascii="Arial Narrow" w:hAnsi="Arial Narrow" w:cstheme="minorHAnsi"/>
          <w:bCs/>
        </w:rPr>
        <w:t>En el marco de la reactivación económica del país, el sector comercio exterior cumple un rol importante para el desarrollo y la actividad productiva</w:t>
      </w:r>
      <w:r w:rsidR="003D0126">
        <w:rPr>
          <w:rFonts w:ascii="Arial Narrow" w:hAnsi="Arial Narrow" w:cstheme="minorHAnsi"/>
          <w:bCs/>
        </w:rPr>
        <w:t xml:space="preserve">, motivo por el cual, se viene promoviendo el desarrollo de </w:t>
      </w:r>
      <w:r w:rsidRPr="0088220E">
        <w:rPr>
          <w:rFonts w:ascii="Arial Narrow" w:hAnsi="Arial Narrow" w:cstheme="minorHAnsi"/>
          <w:bCs/>
        </w:rPr>
        <w:t>las exportaciones peruanas de productos no tradicionales,</w:t>
      </w:r>
      <w:r w:rsidR="003D0126">
        <w:rPr>
          <w:rFonts w:ascii="Arial Narrow" w:hAnsi="Arial Narrow" w:cstheme="minorHAnsi"/>
          <w:bCs/>
        </w:rPr>
        <w:t xml:space="preserve"> cuya importancia radica en la diversificación de la producción nacional, disminuyendo la sensibilidad de los precios internacionales de los </w:t>
      </w:r>
      <w:r w:rsidR="003D0126" w:rsidRPr="003D0126">
        <w:rPr>
          <w:rFonts w:ascii="Arial Narrow" w:hAnsi="Arial Narrow" w:cstheme="minorHAnsi"/>
          <w:bCs/>
          <w:i/>
          <w:iCs/>
        </w:rPr>
        <w:t>commodities</w:t>
      </w:r>
      <w:r w:rsidR="003D0126">
        <w:rPr>
          <w:rFonts w:ascii="Arial Narrow" w:hAnsi="Arial Narrow" w:cstheme="minorHAnsi"/>
          <w:bCs/>
        </w:rPr>
        <w:t>. Asimismo, los sectores no tradicionales, como el agropecuario, requieren de un mayor mano de obra, lo que fomenta la creación de empleos en el país.</w:t>
      </w:r>
      <w:r w:rsidRPr="0088220E">
        <w:rPr>
          <w:rFonts w:ascii="Arial Narrow" w:hAnsi="Arial Narrow" w:cstheme="minorHAnsi"/>
          <w:bCs/>
        </w:rPr>
        <w:t xml:space="preserve"> </w:t>
      </w:r>
    </w:p>
    <w:p w14:paraId="6E4614B2" w14:textId="62614760" w:rsidR="0088220E" w:rsidRPr="0088220E" w:rsidRDefault="003A04B9" w:rsidP="0088220E">
      <w:pPr>
        <w:ind w:left="426"/>
        <w:jc w:val="both"/>
        <w:rPr>
          <w:rFonts w:ascii="Arial Narrow" w:hAnsi="Arial Narrow" w:cstheme="minorHAnsi"/>
          <w:bCs/>
        </w:rPr>
      </w:pPr>
      <w:r>
        <w:rPr>
          <w:rFonts w:ascii="Arial Narrow" w:hAnsi="Arial Narrow" w:cstheme="minorHAnsi"/>
          <w:bCs/>
        </w:rPr>
        <w:t>C</w:t>
      </w:r>
      <w:r w:rsidR="0088220E" w:rsidRPr="0088220E">
        <w:rPr>
          <w:rFonts w:ascii="Arial Narrow" w:hAnsi="Arial Narrow" w:cstheme="minorHAnsi"/>
          <w:bCs/>
        </w:rPr>
        <w:t>onsiderando e</w:t>
      </w:r>
      <w:r>
        <w:rPr>
          <w:rFonts w:ascii="Arial Narrow" w:hAnsi="Arial Narrow" w:cstheme="minorHAnsi"/>
          <w:bCs/>
        </w:rPr>
        <w:t xml:space="preserve">ste </w:t>
      </w:r>
      <w:r w:rsidR="0088220E" w:rsidRPr="0088220E">
        <w:rPr>
          <w:rFonts w:ascii="Arial Narrow" w:hAnsi="Arial Narrow" w:cstheme="minorHAnsi"/>
          <w:bCs/>
        </w:rPr>
        <w:t xml:space="preserve">rol fundamental en el marco de la reactivación económica, </w:t>
      </w:r>
      <w:r w:rsidR="0088220E" w:rsidRPr="0059783D">
        <w:rPr>
          <w:rFonts w:ascii="Arial Narrow" w:hAnsi="Arial Narrow" w:cstheme="minorHAnsi"/>
          <w:bCs/>
        </w:rPr>
        <w:t xml:space="preserve">el sector </w:t>
      </w:r>
      <w:r w:rsidR="00C957F0" w:rsidRPr="0059783D">
        <w:rPr>
          <w:rFonts w:ascii="Arial Narrow" w:hAnsi="Arial Narrow" w:cstheme="minorHAnsi"/>
          <w:bCs/>
        </w:rPr>
        <w:t xml:space="preserve">buscará implementar </w:t>
      </w:r>
      <w:r w:rsidR="0088220E" w:rsidRPr="0059783D">
        <w:rPr>
          <w:rFonts w:ascii="Arial Narrow" w:hAnsi="Arial Narrow" w:cstheme="minorHAnsi"/>
          <w:bCs/>
        </w:rPr>
        <w:t>medidas específicas que coadyuven a</w:t>
      </w:r>
      <w:r w:rsidRPr="0059783D">
        <w:rPr>
          <w:rFonts w:ascii="Arial Narrow" w:hAnsi="Arial Narrow" w:cstheme="minorHAnsi"/>
          <w:bCs/>
        </w:rPr>
        <w:t xml:space="preserve"> su </w:t>
      </w:r>
      <w:r w:rsidR="0088220E" w:rsidRPr="0059783D">
        <w:rPr>
          <w:rFonts w:ascii="Arial Narrow" w:hAnsi="Arial Narrow" w:cstheme="minorHAnsi"/>
          <w:bCs/>
        </w:rPr>
        <w:t>desarrollo</w:t>
      </w:r>
      <w:r w:rsidRPr="0059783D">
        <w:rPr>
          <w:rFonts w:ascii="Arial Narrow" w:hAnsi="Arial Narrow" w:cstheme="minorHAnsi"/>
          <w:bCs/>
        </w:rPr>
        <w:t xml:space="preserve">, en el ámbito de la oferta exportable, </w:t>
      </w:r>
      <w:r w:rsidR="0088220E" w:rsidRPr="0059783D">
        <w:rPr>
          <w:rFonts w:ascii="Arial Narrow" w:hAnsi="Arial Narrow" w:cstheme="minorHAnsi"/>
          <w:bCs/>
        </w:rPr>
        <w:t xml:space="preserve">la facilitación del comercio exterior, </w:t>
      </w:r>
      <w:r w:rsidRPr="0059783D">
        <w:rPr>
          <w:rFonts w:ascii="Arial Narrow" w:hAnsi="Arial Narrow" w:cstheme="minorHAnsi"/>
          <w:bCs/>
        </w:rPr>
        <w:t xml:space="preserve">y la vinculación del Perú con los principales </w:t>
      </w:r>
      <w:r>
        <w:rPr>
          <w:rFonts w:ascii="Arial Narrow" w:hAnsi="Arial Narrow" w:cstheme="minorHAnsi"/>
          <w:bCs/>
        </w:rPr>
        <w:t>mercados internacionales.</w:t>
      </w:r>
    </w:p>
    <w:p w14:paraId="1194D0F3" w14:textId="336FC6A3" w:rsidR="0088220E" w:rsidRPr="0088220E" w:rsidRDefault="0088220E" w:rsidP="0088220E">
      <w:pPr>
        <w:ind w:left="426"/>
        <w:jc w:val="both"/>
        <w:rPr>
          <w:rFonts w:ascii="Arial Narrow" w:hAnsi="Arial Narrow" w:cstheme="minorHAnsi"/>
          <w:bCs/>
        </w:rPr>
      </w:pPr>
      <w:r w:rsidRPr="0088220E">
        <w:rPr>
          <w:rFonts w:ascii="Arial Narrow" w:hAnsi="Arial Narrow" w:cstheme="minorHAnsi"/>
          <w:bCs/>
        </w:rPr>
        <w:t xml:space="preserve">Esta implementación, entre otras, requiere adoptar disposiciones para promover la digitalización de procesos a cargo de las entidades públicas y privadas que forman parte </w:t>
      </w:r>
      <w:r w:rsidR="003A04B9">
        <w:rPr>
          <w:rFonts w:ascii="Arial Narrow" w:hAnsi="Arial Narrow" w:cstheme="minorHAnsi"/>
          <w:bCs/>
        </w:rPr>
        <w:t>d</w:t>
      </w:r>
      <w:r w:rsidRPr="0088220E">
        <w:rPr>
          <w:rFonts w:ascii="Arial Narrow" w:hAnsi="Arial Narrow" w:cstheme="minorHAnsi"/>
          <w:bCs/>
        </w:rPr>
        <w:t xml:space="preserve">e </w:t>
      </w:r>
      <w:r w:rsidR="003A04B9">
        <w:rPr>
          <w:rFonts w:ascii="Arial Narrow" w:hAnsi="Arial Narrow" w:cstheme="minorHAnsi"/>
          <w:bCs/>
        </w:rPr>
        <w:t xml:space="preserve">la </w:t>
      </w:r>
      <w:r w:rsidRPr="0088220E">
        <w:rPr>
          <w:rFonts w:ascii="Arial Narrow" w:hAnsi="Arial Narrow" w:cstheme="minorHAnsi"/>
          <w:bCs/>
        </w:rPr>
        <w:t>cadena logística</w:t>
      </w:r>
      <w:r w:rsidR="003A04B9">
        <w:rPr>
          <w:rFonts w:ascii="Arial Narrow" w:hAnsi="Arial Narrow" w:cstheme="minorHAnsi"/>
          <w:bCs/>
        </w:rPr>
        <w:t xml:space="preserve"> de comercio exterior</w:t>
      </w:r>
      <w:r w:rsidRPr="0088220E">
        <w:rPr>
          <w:rFonts w:ascii="Arial Narrow" w:hAnsi="Arial Narrow" w:cstheme="minorHAnsi"/>
          <w:bCs/>
        </w:rPr>
        <w:t>, en el marco del Decreto Legislativo N° 1492, que aprueba disposiciones para la reactivación, continuidad y eficiencia de las operaciones vinculadas a la cadena logística de comercio exterior.</w:t>
      </w:r>
    </w:p>
    <w:p w14:paraId="6A865372" w14:textId="0A8C88F4" w:rsidR="0088220E" w:rsidRPr="00FF5400" w:rsidRDefault="0088220E" w:rsidP="0088220E">
      <w:pPr>
        <w:ind w:left="426"/>
        <w:jc w:val="both"/>
        <w:rPr>
          <w:rFonts w:ascii="Arial Narrow" w:hAnsi="Arial Narrow" w:cstheme="minorHAnsi"/>
          <w:bCs/>
        </w:rPr>
      </w:pPr>
      <w:r w:rsidRPr="0088220E">
        <w:rPr>
          <w:rFonts w:ascii="Arial Narrow" w:hAnsi="Arial Narrow" w:cstheme="minorHAnsi"/>
          <w:bCs/>
        </w:rPr>
        <w:t xml:space="preserve">Adicionalmente, el </w:t>
      </w:r>
      <w:r w:rsidRPr="00FF5400">
        <w:rPr>
          <w:rFonts w:ascii="Arial Narrow" w:hAnsi="Arial Narrow" w:cstheme="minorHAnsi"/>
          <w:bCs/>
        </w:rPr>
        <w:t xml:space="preserve">sector </w:t>
      </w:r>
      <w:r w:rsidR="00C957F0" w:rsidRPr="00FF5400">
        <w:rPr>
          <w:rFonts w:ascii="Arial Narrow" w:hAnsi="Arial Narrow" w:cstheme="minorHAnsi"/>
          <w:bCs/>
        </w:rPr>
        <w:t xml:space="preserve">impulsará </w:t>
      </w:r>
      <w:r w:rsidRPr="00FF5400">
        <w:rPr>
          <w:rFonts w:ascii="Arial Narrow" w:hAnsi="Arial Narrow" w:cstheme="minorHAnsi"/>
          <w:bCs/>
        </w:rPr>
        <w:t xml:space="preserve">la transparencia del mercado logístico, a fin de reducir las asimetrías de información, a partir de la cual los beneficiarios del comercio exterior puedan tomar una mejor decisión con mayores elementos al momento de contratar servicios logísticos para el desarrollo de sus operaciones, la cual se ha visto afectada en mayor medida a consecuencia de la emergencia sanitaria nacional ocasionada por la COVID-19. </w:t>
      </w:r>
    </w:p>
    <w:p w14:paraId="3E3C32F3" w14:textId="4E2F5CAA" w:rsidR="0088220E" w:rsidRPr="00FF5400" w:rsidRDefault="0088220E" w:rsidP="0088220E">
      <w:pPr>
        <w:ind w:left="426"/>
        <w:jc w:val="both"/>
        <w:rPr>
          <w:rFonts w:ascii="Arial Narrow" w:hAnsi="Arial Narrow" w:cstheme="minorHAnsi"/>
          <w:bCs/>
        </w:rPr>
      </w:pPr>
      <w:r w:rsidRPr="00FF5400">
        <w:rPr>
          <w:rFonts w:ascii="Arial Narrow" w:hAnsi="Arial Narrow" w:cstheme="minorHAnsi"/>
          <w:bCs/>
        </w:rPr>
        <w:t xml:space="preserve">Asimismo, para brindar un mayor soporte y sostenibilidad a estas nuevas exigencias, adicionalmente se </w:t>
      </w:r>
      <w:r w:rsidR="00C957F0" w:rsidRPr="00FF5400">
        <w:rPr>
          <w:rFonts w:ascii="Arial Narrow" w:hAnsi="Arial Narrow" w:cstheme="minorHAnsi"/>
          <w:bCs/>
        </w:rPr>
        <w:t xml:space="preserve">realizarán </w:t>
      </w:r>
      <w:r w:rsidRPr="00FF5400">
        <w:rPr>
          <w:rFonts w:ascii="Arial Narrow" w:hAnsi="Arial Narrow" w:cstheme="minorHAnsi"/>
          <w:bCs/>
        </w:rPr>
        <w:t>de esfuerzos que contribuyan a consolidar la presencia del país en el exterior en materia comercial, generando las condiciones propicias para apuntalar a la reactivación de la economía del país, considerando además nuestras potencialidades basadas en una oferta exportable competitiva y diversificada, como una de las bases del desarrollo exportador.</w:t>
      </w:r>
    </w:p>
    <w:p w14:paraId="11967FC1" w14:textId="25329121" w:rsidR="0088220E" w:rsidRPr="00FF5400" w:rsidRDefault="00D9391F" w:rsidP="0088220E">
      <w:pPr>
        <w:ind w:left="426"/>
        <w:jc w:val="both"/>
        <w:rPr>
          <w:rFonts w:ascii="Arial Narrow" w:hAnsi="Arial Narrow" w:cstheme="minorHAnsi"/>
          <w:bCs/>
        </w:rPr>
      </w:pPr>
      <w:r w:rsidRPr="00FF5400">
        <w:rPr>
          <w:rFonts w:ascii="Arial Narrow" w:hAnsi="Arial Narrow" w:cstheme="minorHAnsi"/>
          <w:bCs/>
        </w:rPr>
        <w:t>Además, s</w:t>
      </w:r>
      <w:r w:rsidR="003A04B9" w:rsidRPr="00FF5400">
        <w:rPr>
          <w:rFonts w:ascii="Arial Narrow" w:hAnsi="Arial Narrow" w:cstheme="minorHAnsi"/>
          <w:bCs/>
        </w:rPr>
        <w:t xml:space="preserve">e </w:t>
      </w:r>
      <w:r w:rsidR="00C957F0" w:rsidRPr="00FF5400">
        <w:rPr>
          <w:rFonts w:ascii="Arial Narrow" w:hAnsi="Arial Narrow" w:cstheme="minorHAnsi"/>
          <w:bCs/>
        </w:rPr>
        <w:t>desarrollará</w:t>
      </w:r>
      <w:r w:rsidR="00CE03BB" w:rsidRPr="00FF5400">
        <w:rPr>
          <w:rFonts w:ascii="Arial Narrow" w:hAnsi="Arial Narrow" w:cstheme="minorHAnsi"/>
          <w:bCs/>
        </w:rPr>
        <w:t>n</w:t>
      </w:r>
      <w:r w:rsidR="00C957F0" w:rsidRPr="00FF5400">
        <w:rPr>
          <w:rFonts w:ascii="Arial Narrow" w:hAnsi="Arial Narrow" w:cstheme="minorHAnsi"/>
          <w:bCs/>
        </w:rPr>
        <w:t xml:space="preserve"> </w:t>
      </w:r>
      <w:r w:rsidR="0088220E" w:rsidRPr="00FF5400">
        <w:rPr>
          <w:rFonts w:ascii="Arial Narrow" w:hAnsi="Arial Narrow" w:cstheme="minorHAnsi"/>
          <w:bCs/>
        </w:rPr>
        <w:t xml:space="preserve">actividades relacionadas al monitoreo y seguimiento de la administración de acuerdos comerciales en el marco de los Tratados de Libre Comercio suscritos por el Perú, así como participaciones en los distintos foros multilaterales y de integración </w:t>
      </w:r>
      <w:r w:rsidR="003A04B9" w:rsidRPr="00FF5400">
        <w:rPr>
          <w:rFonts w:ascii="Arial Narrow" w:hAnsi="Arial Narrow" w:cstheme="minorHAnsi"/>
          <w:bCs/>
        </w:rPr>
        <w:t>comercial</w:t>
      </w:r>
      <w:r w:rsidR="0088220E" w:rsidRPr="00FF5400">
        <w:rPr>
          <w:rFonts w:ascii="Arial Narrow" w:hAnsi="Arial Narrow" w:cstheme="minorHAnsi"/>
          <w:bCs/>
        </w:rPr>
        <w:t xml:space="preserve">, </w:t>
      </w:r>
      <w:r w:rsidR="003A04B9" w:rsidRPr="00FF5400">
        <w:rPr>
          <w:rFonts w:ascii="Arial Narrow" w:hAnsi="Arial Narrow" w:cstheme="minorHAnsi"/>
          <w:bCs/>
        </w:rPr>
        <w:t xml:space="preserve">para posicionar </w:t>
      </w:r>
      <w:r w:rsidR="0088220E" w:rsidRPr="00FF5400">
        <w:rPr>
          <w:rFonts w:ascii="Arial Narrow" w:hAnsi="Arial Narrow" w:cstheme="minorHAnsi"/>
          <w:bCs/>
        </w:rPr>
        <w:t>la presencia del país en el exterior.</w:t>
      </w:r>
    </w:p>
    <w:p w14:paraId="291A5C21" w14:textId="30A2D3D3" w:rsidR="004507EA" w:rsidRPr="00FF5400" w:rsidRDefault="0088220E" w:rsidP="0088220E">
      <w:pPr>
        <w:ind w:left="426"/>
        <w:jc w:val="both"/>
        <w:rPr>
          <w:rFonts w:ascii="Arial Narrow" w:hAnsi="Arial Narrow" w:cstheme="minorHAnsi"/>
          <w:bCs/>
        </w:rPr>
      </w:pPr>
      <w:r w:rsidRPr="00FF5400">
        <w:rPr>
          <w:rFonts w:ascii="Arial Narrow" w:hAnsi="Arial Narrow" w:cstheme="minorHAnsi"/>
          <w:bCs/>
        </w:rPr>
        <w:t>De manera transversal, las asistencias técnicas y capacitaciones permiten generar capacidades para el cumplimiento de estándares y requisitos para una inserción de los productos peruanos en los</w:t>
      </w:r>
      <w:r w:rsidR="003A04B9" w:rsidRPr="00FF5400">
        <w:rPr>
          <w:rFonts w:ascii="Arial Narrow" w:hAnsi="Arial Narrow" w:cstheme="minorHAnsi"/>
          <w:bCs/>
        </w:rPr>
        <w:t xml:space="preserve"> principales </w:t>
      </w:r>
      <w:r w:rsidRPr="00FF5400">
        <w:rPr>
          <w:rFonts w:ascii="Arial Narrow" w:hAnsi="Arial Narrow" w:cstheme="minorHAnsi"/>
          <w:bCs/>
        </w:rPr>
        <w:t>mercados internacionales, para competir a nivel global.</w:t>
      </w:r>
    </w:p>
    <w:p w14:paraId="2F8D7826" w14:textId="1C973A1D" w:rsidR="00E450F7" w:rsidRPr="0088220E" w:rsidRDefault="00E450F7" w:rsidP="0088220E">
      <w:pPr>
        <w:ind w:left="426"/>
        <w:jc w:val="both"/>
        <w:rPr>
          <w:rFonts w:ascii="Arial Narrow" w:hAnsi="Arial Narrow" w:cstheme="minorHAnsi"/>
          <w:bCs/>
        </w:rPr>
      </w:pPr>
    </w:p>
    <w:sectPr w:rsidR="00E450F7" w:rsidRPr="0088220E" w:rsidSect="00A202C1">
      <w:headerReference w:type="first" r:id="rId8"/>
      <w:footerReference w:type="first" r:id="rId9"/>
      <w:pgSz w:w="11906" w:h="16838"/>
      <w:pgMar w:top="1560"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94542" w14:textId="77777777" w:rsidR="00751AE8" w:rsidRDefault="00751AE8" w:rsidP="0027482E">
      <w:pPr>
        <w:spacing w:after="0" w:line="240" w:lineRule="auto"/>
      </w:pPr>
      <w:r>
        <w:separator/>
      </w:r>
    </w:p>
  </w:endnote>
  <w:endnote w:type="continuationSeparator" w:id="0">
    <w:p w14:paraId="5516C5C1" w14:textId="77777777" w:rsidR="00751AE8" w:rsidRDefault="00751AE8" w:rsidP="0027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92329"/>
      <w:docPartObj>
        <w:docPartGallery w:val="Page Numbers (Bottom of Page)"/>
        <w:docPartUnique/>
      </w:docPartObj>
    </w:sdtPr>
    <w:sdtEndPr/>
    <w:sdtContent>
      <w:p w14:paraId="4867B191" w14:textId="10BC1FBD" w:rsidR="00A202C1" w:rsidRDefault="000C4719">
        <w:pPr>
          <w:pStyle w:val="Piedepgina"/>
          <w:jc w:val="right"/>
        </w:pPr>
        <w:r w:rsidRPr="000C4719">
          <w:rPr>
            <w:noProof/>
            <w:lang w:val="es-ES"/>
          </w:rPr>
          <w:t>1</w:t>
        </w:r>
      </w:p>
    </w:sdtContent>
  </w:sdt>
  <w:p w14:paraId="6249DCA0" w14:textId="77777777" w:rsidR="00A202C1" w:rsidRDefault="00A20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DF9D6" w14:textId="77777777" w:rsidR="00751AE8" w:rsidRDefault="00751AE8" w:rsidP="0027482E">
      <w:pPr>
        <w:spacing w:after="0" w:line="240" w:lineRule="auto"/>
      </w:pPr>
      <w:r>
        <w:separator/>
      </w:r>
    </w:p>
  </w:footnote>
  <w:footnote w:type="continuationSeparator" w:id="0">
    <w:p w14:paraId="2302337F" w14:textId="77777777" w:rsidR="00751AE8" w:rsidRDefault="00751AE8" w:rsidP="00274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2215" w14:textId="74F5275A" w:rsidR="00A202C1" w:rsidRDefault="000C4719">
    <w:pPr>
      <w:pStyle w:val="Encabezado"/>
    </w:pPr>
    <w:r>
      <w:rPr>
        <w:noProof/>
      </w:rPr>
      <w:t>MINCETUR</w:t>
    </w:r>
    <w:r w:rsidR="00A202C1" w:rsidRPr="00507619">
      <w:rPr>
        <w:noProof/>
      </w:rPr>
      <w:drawing>
        <wp:anchor distT="0" distB="0" distL="114300" distR="114300" simplePos="0" relativeHeight="251659264" behindDoc="0" locked="0" layoutInCell="1" allowOverlap="1" wp14:anchorId="7199972E" wp14:editId="25CB66FF">
          <wp:simplePos x="0" y="0"/>
          <wp:positionH relativeFrom="margin">
            <wp:posOffset>4667250</wp:posOffset>
          </wp:positionH>
          <wp:positionV relativeFrom="paragraph">
            <wp:posOffset>-235585</wp:posOffset>
          </wp:positionV>
          <wp:extent cx="1080000" cy="450528"/>
          <wp:effectExtent l="0" t="0" r="0" b="6985"/>
          <wp:wrapSquare wrapText="bothSides"/>
          <wp:docPr id="2" name="Picture 4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0FC65F-7936-48B7-83E9-7564FF0128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0FC65F-7936-48B7-83E9-7564FF0128B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1515" t="28194" r="17092" b="26330"/>
                  <a:stretch/>
                </pic:blipFill>
                <pic:spPr>
                  <a:xfrm>
                    <a:off x="0" y="0"/>
                    <a:ext cx="1080000" cy="450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04E"/>
    <w:multiLevelType w:val="hybridMultilevel"/>
    <w:tmpl w:val="A13AB45C"/>
    <w:lvl w:ilvl="0" w:tplc="E17847F8">
      <w:start w:val="1"/>
      <w:numFmt w:val="upperRoman"/>
      <w:lvlText w:val="%1."/>
      <w:lvlJc w:val="left"/>
      <w:pPr>
        <w:ind w:left="1080" w:hanging="720"/>
      </w:pPr>
      <w:rPr>
        <w:rFonts w:hint="default"/>
        <w:color w:val="2F5496" w:themeColor="accent1" w:themeShade="BF"/>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484BB9"/>
    <w:multiLevelType w:val="hybridMultilevel"/>
    <w:tmpl w:val="B13CCB3E"/>
    <w:lvl w:ilvl="0" w:tplc="82C2D1AE">
      <w:start w:val="1"/>
      <w:numFmt w:val="upperRoman"/>
      <w:lvlText w:val="%1."/>
      <w:lvlJc w:val="left"/>
      <w:pPr>
        <w:ind w:left="1080" w:hanging="720"/>
      </w:pPr>
      <w:rPr>
        <w:rFonts w:hint="default"/>
        <w:color w:val="2F5496" w:themeColor="accent1" w:themeShade="B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9714938"/>
    <w:multiLevelType w:val="hybridMultilevel"/>
    <w:tmpl w:val="BD10AD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F3B49DF"/>
    <w:multiLevelType w:val="hybridMultilevel"/>
    <w:tmpl w:val="DE4E0DA2"/>
    <w:lvl w:ilvl="0" w:tplc="6068EEE4">
      <w:start w:val="1"/>
      <w:numFmt w:val="upperLetter"/>
      <w:lvlText w:val="%1."/>
      <w:lvlJc w:val="left"/>
      <w:pPr>
        <w:ind w:left="720" w:hanging="360"/>
      </w:pPr>
      <w:rPr>
        <w:rFonts w:hint="default"/>
        <w:color w:val="2F5496" w:themeColor="accent1" w:themeShade="BF"/>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C263090"/>
    <w:multiLevelType w:val="multilevel"/>
    <w:tmpl w:val="25267E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7B7B7B" w:themeColor="accent3" w:themeShade="B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F7"/>
    <w:rsid w:val="00080E84"/>
    <w:rsid w:val="000C4719"/>
    <w:rsid w:val="0018407B"/>
    <w:rsid w:val="00186F80"/>
    <w:rsid w:val="001A55B8"/>
    <w:rsid w:val="00215680"/>
    <w:rsid w:val="00245146"/>
    <w:rsid w:val="00254765"/>
    <w:rsid w:val="0027482E"/>
    <w:rsid w:val="00280B8A"/>
    <w:rsid w:val="002F3799"/>
    <w:rsid w:val="003A04B9"/>
    <w:rsid w:val="003C1DFA"/>
    <w:rsid w:val="003C3E44"/>
    <w:rsid w:val="003D0126"/>
    <w:rsid w:val="00407528"/>
    <w:rsid w:val="004507EA"/>
    <w:rsid w:val="004B78A9"/>
    <w:rsid w:val="004C52FE"/>
    <w:rsid w:val="004F5A58"/>
    <w:rsid w:val="00565567"/>
    <w:rsid w:val="0059422B"/>
    <w:rsid w:val="0059783D"/>
    <w:rsid w:val="005A573A"/>
    <w:rsid w:val="005F37AD"/>
    <w:rsid w:val="006305D1"/>
    <w:rsid w:val="00641376"/>
    <w:rsid w:val="00667313"/>
    <w:rsid w:val="0067487A"/>
    <w:rsid w:val="00684E93"/>
    <w:rsid w:val="006851FC"/>
    <w:rsid w:val="006C4818"/>
    <w:rsid w:val="007003E5"/>
    <w:rsid w:val="00751AE8"/>
    <w:rsid w:val="00814274"/>
    <w:rsid w:val="00823C7F"/>
    <w:rsid w:val="00825E1A"/>
    <w:rsid w:val="0088220E"/>
    <w:rsid w:val="00882F42"/>
    <w:rsid w:val="0089448E"/>
    <w:rsid w:val="008C68A8"/>
    <w:rsid w:val="008F7EFA"/>
    <w:rsid w:val="009141B1"/>
    <w:rsid w:val="00975765"/>
    <w:rsid w:val="009C1BE2"/>
    <w:rsid w:val="009C4EFB"/>
    <w:rsid w:val="009C7B07"/>
    <w:rsid w:val="009D67E2"/>
    <w:rsid w:val="00A202C1"/>
    <w:rsid w:val="00A2766C"/>
    <w:rsid w:val="00AD551B"/>
    <w:rsid w:val="00AE73B9"/>
    <w:rsid w:val="00B11552"/>
    <w:rsid w:val="00B11C21"/>
    <w:rsid w:val="00B171B6"/>
    <w:rsid w:val="00B359B2"/>
    <w:rsid w:val="00B91100"/>
    <w:rsid w:val="00C15260"/>
    <w:rsid w:val="00C713CE"/>
    <w:rsid w:val="00C957F0"/>
    <w:rsid w:val="00CE03BB"/>
    <w:rsid w:val="00CF1682"/>
    <w:rsid w:val="00D25AF2"/>
    <w:rsid w:val="00D67A01"/>
    <w:rsid w:val="00D9391F"/>
    <w:rsid w:val="00DD6AA9"/>
    <w:rsid w:val="00E450F7"/>
    <w:rsid w:val="00EB71B1"/>
    <w:rsid w:val="00EE1664"/>
    <w:rsid w:val="00EF78EC"/>
    <w:rsid w:val="00FC0CA2"/>
    <w:rsid w:val="00FF5400"/>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765"/>
  <w15:chartTrackingRefBased/>
  <w15:docId w15:val="{4AAA5743-C352-433F-8EB2-05DA951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F7"/>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Cita Pie de Página,titulo,Iz - Párrafo de lista,Sivsa Parrafo,Titulo de Fígura,Párrafo Normal,Lista 123,Lista vistosa - Énfasis 11,titulo 5,MAPA,Viñeta,TITULO A,Cuadro 2-1,paul2,SubPárrafo de lista,Footnote"/>
    <w:basedOn w:val="Normal"/>
    <w:link w:val="PrrafodelistaCar"/>
    <w:uiPriority w:val="34"/>
    <w:qFormat/>
    <w:rsid w:val="00E450F7"/>
    <w:pPr>
      <w:ind w:left="720"/>
      <w:contextualSpacing/>
    </w:pPr>
  </w:style>
  <w:style w:type="character" w:customStyle="1" w:styleId="PrrafodelistaCar">
    <w:name w:val="Párrafo de lista Car"/>
    <w:aliases w:val="Bulleted List Car,Fundamentacion Car,Cita Pie de Página Car,titulo Car,Iz - Párrafo de lista Car,Sivsa Parrafo Car,Titulo de Fígura Car,Párrafo Normal Car,Lista 123 Car,Lista vistosa - Énfasis 11 Car,titulo 5 Car,MAPA Car,Viñeta Car"/>
    <w:basedOn w:val="Fuentedeprrafopredeter"/>
    <w:link w:val="Prrafodelista"/>
    <w:uiPriority w:val="34"/>
    <w:qFormat/>
    <w:locked/>
    <w:rsid w:val="00E450F7"/>
    <w:rPr>
      <w:rFonts w:eastAsiaTheme="minorEastAsia"/>
      <w:lang w:eastAsia="es-PE"/>
    </w:rPr>
  </w:style>
  <w:style w:type="table" w:styleId="Tablaconcuadrcula">
    <w:name w:val="Table Grid"/>
    <w:basedOn w:val="Tablanormal"/>
    <w:uiPriority w:val="39"/>
    <w:rsid w:val="00E450F7"/>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n,footnote text,Footnotes,Footnote ak,Footnote Text Char1,Footnote Text Char Char,fn Char Char,footnote text Char Char,Footnotes Char Char,Footnote ak Char Char,fn Char1,footnote text Char1,Footnotes Char1,Footnote ak Char1,ft,fn cafc,Ca"/>
    <w:basedOn w:val="Normal"/>
    <w:link w:val="TextonotapieCar"/>
    <w:uiPriority w:val="99"/>
    <w:unhideWhenUsed/>
    <w:rsid w:val="0027482E"/>
    <w:pPr>
      <w:spacing w:after="0" w:line="240" w:lineRule="auto"/>
    </w:pPr>
    <w:rPr>
      <w:sz w:val="20"/>
      <w:szCs w:val="20"/>
    </w:rPr>
  </w:style>
  <w:style w:type="character" w:customStyle="1" w:styleId="TextonotapieCar">
    <w:name w:val="Texto nota pie Car"/>
    <w:aliases w:val="fn Car,footnote text Car,Footnotes Car,Footnote ak Car,Footnote Text Char1 Car,Footnote Text Char Char Car,fn Char Char Car,footnote text Char Char Car,Footnotes Char Char Car,Footnote ak Char Char Car,fn Char1 Car,Footnotes Char1 Car"/>
    <w:basedOn w:val="Fuentedeprrafopredeter"/>
    <w:link w:val="Textonotapie"/>
    <w:uiPriority w:val="99"/>
    <w:rsid w:val="0027482E"/>
    <w:rPr>
      <w:rFonts w:eastAsiaTheme="minorEastAsia"/>
      <w:sz w:val="20"/>
      <w:szCs w:val="20"/>
      <w:lang w:eastAsia="es-PE"/>
    </w:rPr>
  </w:style>
  <w:style w:type="character" w:styleId="Refdenotaalpie">
    <w:name w:val="footnote reference"/>
    <w:aliases w:val="Ref,de nota al pie,de nota al pie + (Asian) MS Mincho,11 pt,註腳內容,Footnote Reference1,Ref1,de nota al pie1,Error-Fußnotenzeichen5,Error-Fußnotenzeichen6,Error-Fußnotenzeichen3,16 Point,Superscript 6 Point,FC,Ref.,de,nota,al,pie,ftref"/>
    <w:basedOn w:val="Fuentedeprrafopredeter"/>
    <w:uiPriority w:val="99"/>
    <w:unhideWhenUsed/>
    <w:rsid w:val="0027482E"/>
    <w:rPr>
      <w:vertAlign w:val="superscript"/>
    </w:rPr>
  </w:style>
  <w:style w:type="paragraph" w:styleId="Encabezado">
    <w:name w:val="header"/>
    <w:basedOn w:val="Normal"/>
    <w:link w:val="EncabezadoCar"/>
    <w:uiPriority w:val="99"/>
    <w:unhideWhenUsed/>
    <w:rsid w:val="00A202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2C1"/>
    <w:rPr>
      <w:rFonts w:eastAsiaTheme="minorEastAsia"/>
      <w:lang w:eastAsia="es-PE"/>
    </w:rPr>
  </w:style>
  <w:style w:type="paragraph" w:styleId="Piedepgina">
    <w:name w:val="footer"/>
    <w:basedOn w:val="Normal"/>
    <w:link w:val="PiedepginaCar"/>
    <w:uiPriority w:val="99"/>
    <w:unhideWhenUsed/>
    <w:rsid w:val="00A202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2C1"/>
    <w:rPr>
      <w:rFonts w:eastAsiaTheme="minorEastAsia"/>
      <w:lang w:eastAsia="es-PE"/>
    </w:rPr>
  </w:style>
  <w:style w:type="paragraph" w:styleId="Textoindependiente">
    <w:name w:val="Body Text"/>
    <w:basedOn w:val="Normal"/>
    <w:link w:val="TextoindependienteCar"/>
    <w:uiPriority w:val="99"/>
    <w:qFormat/>
    <w:rsid w:val="004B78A9"/>
    <w:pPr>
      <w:widowControl w:val="0"/>
      <w:autoSpaceDE w:val="0"/>
      <w:autoSpaceDN w:val="0"/>
      <w:spacing w:after="0" w:line="240" w:lineRule="auto"/>
    </w:pPr>
    <w:rPr>
      <w:rFonts w:ascii="Arial" w:eastAsia="Arial" w:hAnsi="Arial" w:cs="Arial"/>
      <w:lang w:val="es-ES" w:eastAsia="en-US"/>
    </w:rPr>
  </w:style>
  <w:style w:type="character" w:customStyle="1" w:styleId="TextoindependienteCar">
    <w:name w:val="Texto independiente Car"/>
    <w:basedOn w:val="Fuentedeprrafopredeter"/>
    <w:link w:val="Textoindependiente"/>
    <w:uiPriority w:val="99"/>
    <w:rsid w:val="004B78A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C0E9-3CB0-4FAA-9DA8-F62F31FA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4</Pages>
  <Words>2230</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DNSE - CEPLAN</dc:creator>
  <cp:keywords/>
  <dc:description/>
  <cp:lastModifiedBy>GABRIEL</cp:lastModifiedBy>
  <cp:revision>38</cp:revision>
  <dcterms:created xsi:type="dcterms:W3CDTF">2021-05-24T14:00:00Z</dcterms:created>
  <dcterms:modified xsi:type="dcterms:W3CDTF">2021-06-16T01:57:00Z</dcterms:modified>
</cp:coreProperties>
</file>