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5FB6A" w14:textId="2B78B1E6" w:rsidR="00E450F7" w:rsidRPr="004C52FE" w:rsidRDefault="006C4818" w:rsidP="004507EA">
      <w:pPr>
        <w:jc w:val="center"/>
        <w:rPr>
          <w:rFonts w:ascii="Arial Narrow" w:hAnsi="Arial Narrow" w:cstheme="minorHAnsi"/>
          <w:b/>
          <w:color w:val="323E4F" w:themeColor="text2" w:themeShade="BF"/>
          <w:sz w:val="28"/>
          <w:szCs w:val="28"/>
        </w:rPr>
      </w:pPr>
      <w:r>
        <w:rPr>
          <w:rFonts w:ascii="Arial Narrow" w:hAnsi="Arial Narrow" w:cstheme="minorHAnsi"/>
          <w:b/>
          <w:color w:val="323E4F" w:themeColor="text2" w:themeShade="BF"/>
          <w:sz w:val="28"/>
          <w:szCs w:val="28"/>
        </w:rPr>
        <w:t>R</w:t>
      </w:r>
      <w:r w:rsidR="00E450F7" w:rsidRPr="004C52FE">
        <w:rPr>
          <w:rFonts w:ascii="Arial Narrow" w:hAnsi="Arial Narrow" w:cstheme="minorHAnsi"/>
          <w:b/>
          <w:color w:val="323E4F" w:themeColor="text2" w:themeShade="BF"/>
          <w:sz w:val="28"/>
          <w:szCs w:val="28"/>
        </w:rPr>
        <w:t>eporte de cumplimiento de políticas nacionales</w:t>
      </w:r>
    </w:p>
    <w:tbl>
      <w:tblPr>
        <w:tblStyle w:val="Tablaconcuadrcula"/>
        <w:tblW w:w="9130" w:type="dxa"/>
        <w:tblLook w:val="04A0" w:firstRow="1" w:lastRow="0" w:firstColumn="1" w:lastColumn="0" w:noHBand="0" w:noVBand="1"/>
      </w:tblPr>
      <w:tblGrid>
        <w:gridCol w:w="1972"/>
        <w:gridCol w:w="7158"/>
      </w:tblGrid>
      <w:tr w:rsidR="00E450F7" w:rsidRPr="004C52FE" w14:paraId="4FFF4CF7" w14:textId="77777777" w:rsidTr="006C4818">
        <w:trPr>
          <w:trHeight w:val="282"/>
        </w:trPr>
        <w:tc>
          <w:tcPr>
            <w:tcW w:w="1972" w:type="dxa"/>
            <w:vAlign w:val="center"/>
          </w:tcPr>
          <w:p w14:paraId="5B82EEF0" w14:textId="77777777" w:rsidR="00E450F7" w:rsidRPr="004C52FE" w:rsidRDefault="00E450F7" w:rsidP="00186F80">
            <w:pPr>
              <w:rPr>
                <w:rFonts w:ascii="Arial Narrow" w:hAnsi="Arial Narrow" w:cstheme="minorHAnsi"/>
                <w:b/>
              </w:rPr>
            </w:pPr>
            <w:r w:rsidRPr="004C52FE">
              <w:rPr>
                <w:rFonts w:ascii="Arial Narrow" w:hAnsi="Arial Narrow" w:cstheme="minorHAnsi"/>
                <w:b/>
              </w:rPr>
              <w:t>Política nacional</w:t>
            </w:r>
          </w:p>
        </w:tc>
        <w:tc>
          <w:tcPr>
            <w:tcW w:w="7158" w:type="dxa"/>
            <w:vAlign w:val="center"/>
          </w:tcPr>
          <w:p w14:paraId="491544DA" w14:textId="59A7BFAB" w:rsidR="00E450F7" w:rsidRPr="00344221" w:rsidRDefault="000C4719" w:rsidP="00904742">
            <w:pPr>
              <w:rPr>
                <w:rFonts w:ascii="Arial Narrow" w:hAnsi="Arial Narrow" w:cstheme="minorHAnsi"/>
              </w:rPr>
            </w:pPr>
            <w:r w:rsidRPr="00344221">
              <w:rPr>
                <w:rFonts w:ascii="Arial Narrow" w:hAnsi="Arial Narrow" w:cstheme="minorHAnsi"/>
              </w:rPr>
              <w:t xml:space="preserve">Plan Estratégico Nacional </w:t>
            </w:r>
            <w:r w:rsidR="00904742" w:rsidRPr="00344221">
              <w:rPr>
                <w:rFonts w:ascii="Arial Narrow" w:hAnsi="Arial Narrow" w:cstheme="minorHAnsi"/>
              </w:rPr>
              <w:t>de Turismo</w:t>
            </w:r>
            <w:r w:rsidRPr="00344221">
              <w:rPr>
                <w:rFonts w:ascii="Arial Narrow" w:hAnsi="Arial Narrow" w:cstheme="minorHAnsi"/>
              </w:rPr>
              <w:t xml:space="preserve"> – PEN</w:t>
            </w:r>
            <w:r w:rsidR="00904742" w:rsidRPr="00344221">
              <w:rPr>
                <w:rFonts w:ascii="Arial Narrow" w:hAnsi="Arial Narrow" w:cstheme="minorHAnsi"/>
              </w:rPr>
              <w:t>TUR</w:t>
            </w:r>
            <w:r w:rsidRPr="00344221">
              <w:rPr>
                <w:rFonts w:ascii="Arial Narrow" w:hAnsi="Arial Narrow" w:cstheme="minorHAnsi"/>
              </w:rPr>
              <w:t xml:space="preserve"> 2025</w:t>
            </w:r>
          </w:p>
        </w:tc>
      </w:tr>
      <w:tr w:rsidR="00E450F7" w:rsidRPr="004C52FE" w14:paraId="266EB6B7" w14:textId="77777777" w:rsidTr="006C4818">
        <w:trPr>
          <w:trHeight w:val="472"/>
        </w:trPr>
        <w:tc>
          <w:tcPr>
            <w:tcW w:w="1972" w:type="dxa"/>
            <w:vAlign w:val="center"/>
          </w:tcPr>
          <w:p w14:paraId="10387D8B" w14:textId="77777777" w:rsidR="00E450F7" w:rsidRPr="004C52FE" w:rsidRDefault="00E450F7" w:rsidP="00186F80">
            <w:pPr>
              <w:rPr>
                <w:rFonts w:ascii="Arial Narrow" w:hAnsi="Arial Narrow" w:cstheme="minorHAnsi"/>
                <w:b/>
              </w:rPr>
            </w:pPr>
            <w:r w:rsidRPr="004C52FE">
              <w:rPr>
                <w:rFonts w:ascii="Arial Narrow" w:hAnsi="Arial Narrow" w:cstheme="minorHAnsi"/>
                <w:b/>
              </w:rPr>
              <w:t>Ministerio rector o conductor</w:t>
            </w:r>
          </w:p>
        </w:tc>
        <w:tc>
          <w:tcPr>
            <w:tcW w:w="7158" w:type="dxa"/>
            <w:vAlign w:val="center"/>
          </w:tcPr>
          <w:p w14:paraId="623500DB" w14:textId="6604FE0E" w:rsidR="00E450F7" w:rsidRPr="00344221" w:rsidRDefault="000C4719" w:rsidP="00186F80">
            <w:pPr>
              <w:rPr>
                <w:rFonts w:ascii="Arial Narrow" w:hAnsi="Arial Narrow" w:cstheme="minorHAnsi"/>
              </w:rPr>
            </w:pPr>
            <w:r w:rsidRPr="00344221">
              <w:rPr>
                <w:rFonts w:ascii="Arial Narrow" w:hAnsi="Arial Narrow" w:cstheme="minorHAnsi"/>
              </w:rPr>
              <w:t>MINCETUR</w:t>
            </w:r>
          </w:p>
        </w:tc>
      </w:tr>
      <w:tr w:rsidR="00E450F7" w:rsidRPr="004C52FE" w14:paraId="0B539337" w14:textId="77777777" w:rsidTr="006C4818">
        <w:trPr>
          <w:trHeight w:val="282"/>
        </w:trPr>
        <w:tc>
          <w:tcPr>
            <w:tcW w:w="1972" w:type="dxa"/>
            <w:vAlign w:val="center"/>
          </w:tcPr>
          <w:p w14:paraId="00644634" w14:textId="77777777" w:rsidR="00E450F7" w:rsidRPr="004C52FE" w:rsidRDefault="00E450F7" w:rsidP="00186F80">
            <w:pPr>
              <w:rPr>
                <w:rFonts w:ascii="Arial Narrow" w:hAnsi="Arial Narrow" w:cstheme="minorHAnsi"/>
                <w:b/>
              </w:rPr>
            </w:pPr>
            <w:r w:rsidRPr="004C52FE">
              <w:rPr>
                <w:rFonts w:ascii="Arial Narrow" w:hAnsi="Arial Narrow" w:cstheme="minorHAnsi"/>
                <w:b/>
              </w:rPr>
              <w:t>Problema público</w:t>
            </w:r>
          </w:p>
        </w:tc>
        <w:tc>
          <w:tcPr>
            <w:tcW w:w="7158" w:type="dxa"/>
            <w:vAlign w:val="center"/>
          </w:tcPr>
          <w:p w14:paraId="21E5E374" w14:textId="1AF5CCC2" w:rsidR="006A4741" w:rsidRPr="00344221" w:rsidRDefault="00690A1E" w:rsidP="008C68FA">
            <w:pPr>
              <w:jc w:val="both"/>
              <w:rPr>
                <w:rFonts w:ascii="Arial Narrow" w:hAnsi="Arial Narrow" w:cstheme="minorHAnsi"/>
              </w:rPr>
            </w:pPr>
            <w:r>
              <w:rPr>
                <w:rFonts w:ascii="Arial Narrow" w:hAnsi="Arial Narrow" w:cstheme="minorHAnsi"/>
              </w:rPr>
              <w:t>-</w:t>
            </w:r>
            <w:bookmarkStart w:id="0" w:name="_GoBack"/>
            <w:bookmarkEnd w:id="0"/>
          </w:p>
        </w:tc>
      </w:tr>
      <w:tr w:rsidR="00E450F7" w:rsidRPr="004C52FE" w14:paraId="3B293F40" w14:textId="77777777" w:rsidTr="006C4818">
        <w:trPr>
          <w:trHeight w:val="282"/>
        </w:trPr>
        <w:tc>
          <w:tcPr>
            <w:tcW w:w="1972" w:type="dxa"/>
            <w:vAlign w:val="center"/>
          </w:tcPr>
          <w:p w14:paraId="7063DD17" w14:textId="77777777" w:rsidR="00E450F7" w:rsidRPr="004C52FE" w:rsidRDefault="00E450F7" w:rsidP="00186F80">
            <w:pPr>
              <w:rPr>
                <w:rFonts w:ascii="Arial Narrow" w:hAnsi="Arial Narrow" w:cstheme="minorHAnsi"/>
                <w:b/>
              </w:rPr>
            </w:pPr>
            <w:r w:rsidRPr="004C52FE">
              <w:rPr>
                <w:rFonts w:ascii="Arial Narrow" w:hAnsi="Arial Narrow" w:cstheme="minorHAnsi"/>
                <w:b/>
              </w:rPr>
              <w:t>Dispositivo legal</w:t>
            </w:r>
          </w:p>
        </w:tc>
        <w:tc>
          <w:tcPr>
            <w:tcW w:w="7158" w:type="dxa"/>
            <w:vAlign w:val="center"/>
          </w:tcPr>
          <w:p w14:paraId="4225B1F8" w14:textId="52A7CD4B" w:rsidR="006A4741" w:rsidRPr="00344221" w:rsidRDefault="006A4741" w:rsidP="00186F80">
            <w:pPr>
              <w:rPr>
                <w:rFonts w:ascii="Arial Narrow" w:hAnsi="Arial Narrow" w:cstheme="minorHAnsi"/>
              </w:rPr>
            </w:pPr>
            <w:r w:rsidRPr="00344221">
              <w:rPr>
                <w:rFonts w:ascii="Arial Narrow" w:hAnsi="Arial Narrow" w:cstheme="minorHAnsi"/>
              </w:rPr>
              <w:t>Resolución Ministerial N° 231-2016-MINCETUR que aprueba el PENTUR 2025.</w:t>
            </w:r>
          </w:p>
        </w:tc>
      </w:tr>
    </w:tbl>
    <w:p w14:paraId="13C2B459" w14:textId="176E59CF" w:rsidR="00E450F7" w:rsidRPr="004C52FE" w:rsidRDefault="00E450F7" w:rsidP="00E450F7">
      <w:pPr>
        <w:rPr>
          <w:rFonts w:ascii="Arial Narrow" w:hAnsi="Arial Narrow" w:cstheme="minorHAnsi"/>
          <w:b/>
        </w:rPr>
      </w:pPr>
    </w:p>
    <w:p w14:paraId="7C59760F" w14:textId="66C035B7" w:rsidR="004507EA" w:rsidRPr="004C52FE" w:rsidRDefault="004507EA" w:rsidP="004507EA">
      <w:pPr>
        <w:pStyle w:val="Prrafodelista"/>
        <w:numPr>
          <w:ilvl w:val="0"/>
          <w:numId w:val="5"/>
        </w:numPr>
        <w:ind w:left="284" w:hanging="218"/>
        <w:rPr>
          <w:rFonts w:ascii="Arial Narrow" w:hAnsi="Arial Narrow" w:cstheme="minorHAnsi"/>
          <w:b/>
        </w:rPr>
      </w:pPr>
      <w:r w:rsidRPr="004C52FE">
        <w:rPr>
          <w:rFonts w:ascii="Arial Narrow" w:hAnsi="Arial Narrow" w:cstheme="minorHAnsi"/>
          <w:b/>
        </w:rPr>
        <w:t>Avance del cumplimiento de los objetivos prioritarios</w:t>
      </w:r>
    </w:p>
    <w:p w14:paraId="6954B685" w14:textId="1B9C68D4" w:rsidR="004507EA" w:rsidRPr="004C52FE" w:rsidRDefault="00882F42" w:rsidP="004507EA">
      <w:pPr>
        <w:pBdr>
          <w:top w:val="nil"/>
          <w:left w:val="nil"/>
          <w:bottom w:val="nil"/>
          <w:right w:val="nil"/>
          <w:between w:val="nil"/>
        </w:pBdr>
        <w:spacing w:after="120" w:line="240" w:lineRule="auto"/>
        <w:ind w:left="284"/>
        <w:jc w:val="both"/>
        <w:rPr>
          <w:rFonts w:ascii="Arial Narrow" w:hAnsi="Arial Narrow"/>
          <w:color w:val="7030A0"/>
        </w:rPr>
      </w:pPr>
      <w:r w:rsidRPr="004C52FE">
        <w:rPr>
          <w:rFonts w:ascii="Arial Narrow" w:hAnsi="Arial Narrow"/>
          <w:b/>
          <w:bCs/>
        </w:rPr>
        <w:t>1</w:t>
      </w:r>
      <w:r w:rsidR="004507EA" w:rsidRPr="004C52FE">
        <w:rPr>
          <w:rFonts w:ascii="Arial Narrow" w:hAnsi="Arial Narrow"/>
          <w:b/>
          <w:bCs/>
        </w:rPr>
        <w:t xml:space="preserve">.1 </w:t>
      </w:r>
      <w:r w:rsidR="004F5A58" w:rsidRPr="004C52FE">
        <w:rPr>
          <w:rFonts w:ascii="Arial Narrow" w:hAnsi="Arial Narrow"/>
          <w:b/>
          <w:bCs/>
        </w:rPr>
        <w:t>Resultado</w:t>
      </w:r>
      <w:r w:rsidR="004507EA" w:rsidRPr="004C52FE">
        <w:rPr>
          <w:rFonts w:ascii="Arial Narrow" w:hAnsi="Arial Narrow"/>
          <w:b/>
          <w:bCs/>
        </w:rPr>
        <w:t xml:space="preserve"> general</w:t>
      </w:r>
    </w:p>
    <w:p w14:paraId="7A1B0ECA" w14:textId="097F9750" w:rsidR="00E16768" w:rsidRPr="00344221" w:rsidRDefault="001D536F" w:rsidP="007A09E4">
      <w:pPr>
        <w:pBdr>
          <w:top w:val="nil"/>
          <w:left w:val="nil"/>
          <w:bottom w:val="nil"/>
          <w:right w:val="nil"/>
          <w:between w:val="nil"/>
        </w:pBdr>
        <w:spacing w:after="120" w:line="240" w:lineRule="auto"/>
        <w:ind w:left="567"/>
        <w:jc w:val="both"/>
        <w:rPr>
          <w:rFonts w:ascii="Arial Narrow" w:hAnsi="Arial Narrow"/>
        </w:rPr>
      </w:pPr>
      <w:r w:rsidRPr="00344221">
        <w:rPr>
          <w:rFonts w:ascii="Arial Narrow" w:hAnsi="Arial Narrow"/>
        </w:rPr>
        <w:t xml:space="preserve">El Sector Turismo en el Perú, considerando el contexto actual que se vive como consecuencia del brote de la </w:t>
      </w:r>
      <w:r w:rsidR="007A09E4" w:rsidRPr="00344221">
        <w:rPr>
          <w:rFonts w:ascii="Arial Narrow" w:hAnsi="Arial Narrow"/>
        </w:rPr>
        <w:t xml:space="preserve">pandemia de la </w:t>
      </w:r>
      <w:r w:rsidRPr="00344221">
        <w:rPr>
          <w:rFonts w:ascii="Arial Narrow" w:hAnsi="Arial Narrow"/>
        </w:rPr>
        <w:t>COVID-19 a nivel mundial, se ha visto afectado</w:t>
      </w:r>
      <w:r w:rsidR="00166F82" w:rsidRPr="00344221">
        <w:rPr>
          <w:rFonts w:ascii="Arial Narrow" w:hAnsi="Arial Narrow"/>
        </w:rPr>
        <w:t xml:space="preserve"> por</w:t>
      </w:r>
      <w:r w:rsidR="007A09E4" w:rsidRPr="00344221">
        <w:rPr>
          <w:rFonts w:ascii="Arial Narrow" w:hAnsi="Arial Narrow"/>
        </w:rPr>
        <w:t xml:space="preserve"> las estrictas medidas de confinamiento social en el mundo</w:t>
      </w:r>
      <w:r w:rsidR="00166F82" w:rsidRPr="00344221">
        <w:rPr>
          <w:rFonts w:ascii="Arial Narrow" w:hAnsi="Arial Narrow"/>
        </w:rPr>
        <w:t xml:space="preserve"> </w:t>
      </w:r>
      <w:r w:rsidR="007A09E4" w:rsidRPr="00344221">
        <w:rPr>
          <w:rFonts w:ascii="Arial Narrow" w:hAnsi="Arial Narrow"/>
        </w:rPr>
        <w:t xml:space="preserve">y que ha originado </w:t>
      </w:r>
      <w:r w:rsidR="00166F82" w:rsidRPr="00344221">
        <w:rPr>
          <w:rFonts w:ascii="Arial Narrow" w:hAnsi="Arial Narrow"/>
        </w:rPr>
        <w:t xml:space="preserve">una de las mayores contracciones del PBI en las </w:t>
      </w:r>
      <w:r w:rsidR="007A09E4" w:rsidRPr="00344221">
        <w:rPr>
          <w:rFonts w:ascii="Arial Narrow" w:hAnsi="Arial Narrow"/>
        </w:rPr>
        <w:t>últimas</w:t>
      </w:r>
      <w:r w:rsidR="00166F82" w:rsidRPr="00344221">
        <w:rPr>
          <w:rFonts w:ascii="Arial Narrow" w:hAnsi="Arial Narrow"/>
        </w:rPr>
        <w:t xml:space="preserve"> décadas </w:t>
      </w:r>
      <w:r w:rsidR="007A09E4" w:rsidRPr="00344221">
        <w:rPr>
          <w:rFonts w:ascii="Arial Narrow" w:hAnsi="Arial Narrow"/>
        </w:rPr>
        <w:t xml:space="preserve">en el país afectando la </w:t>
      </w:r>
      <w:r w:rsidR="00166F82" w:rsidRPr="00344221">
        <w:rPr>
          <w:rFonts w:ascii="Arial Narrow" w:hAnsi="Arial Narrow"/>
        </w:rPr>
        <w:t>continu</w:t>
      </w:r>
      <w:r w:rsidR="007A09E4" w:rsidRPr="00344221">
        <w:rPr>
          <w:rFonts w:ascii="Arial Narrow" w:hAnsi="Arial Narrow"/>
        </w:rPr>
        <w:t>idad d</w:t>
      </w:r>
      <w:r w:rsidR="00166F82" w:rsidRPr="00344221">
        <w:rPr>
          <w:rFonts w:ascii="Arial Narrow" w:hAnsi="Arial Narrow"/>
        </w:rPr>
        <w:t xml:space="preserve">el desarrollo </w:t>
      </w:r>
      <w:r w:rsidR="007A09E4" w:rsidRPr="00344221">
        <w:rPr>
          <w:rFonts w:ascii="Arial Narrow" w:hAnsi="Arial Narrow"/>
        </w:rPr>
        <w:t xml:space="preserve">económico y social </w:t>
      </w:r>
      <w:r w:rsidR="00166F82" w:rsidRPr="00344221">
        <w:rPr>
          <w:rFonts w:ascii="Arial Narrow" w:hAnsi="Arial Narrow"/>
        </w:rPr>
        <w:t>esperado</w:t>
      </w:r>
      <w:r w:rsidR="007A09E4" w:rsidRPr="00344221">
        <w:rPr>
          <w:rFonts w:ascii="Arial Narrow" w:hAnsi="Arial Narrow"/>
        </w:rPr>
        <w:t xml:space="preserve">, específicamente en materia de Turismo con cifras negativas </w:t>
      </w:r>
      <w:bookmarkStart w:id="1" w:name="_Hlk11190417"/>
      <w:r w:rsidRPr="00344221">
        <w:rPr>
          <w:rFonts w:ascii="Arial Narrow" w:hAnsi="Arial Narrow"/>
        </w:rPr>
        <w:t>a</w:t>
      </w:r>
      <w:r w:rsidR="007A09E4" w:rsidRPr="00344221">
        <w:rPr>
          <w:rFonts w:ascii="Arial Narrow" w:hAnsi="Arial Narrow"/>
        </w:rPr>
        <w:t>lcanzada</w:t>
      </w:r>
      <w:r w:rsidRPr="00344221">
        <w:rPr>
          <w:rFonts w:ascii="Arial Narrow" w:hAnsi="Arial Narrow"/>
        </w:rPr>
        <w:t>s en el año 2020</w:t>
      </w:r>
      <w:r w:rsidR="00861EB8" w:rsidRPr="00344221">
        <w:rPr>
          <w:rFonts w:ascii="Arial Narrow" w:hAnsi="Arial Narrow"/>
        </w:rPr>
        <w:t xml:space="preserve"> con relación al año 2019</w:t>
      </w:r>
      <w:r w:rsidR="007A09E4" w:rsidRPr="00344221">
        <w:rPr>
          <w:rFonts w:ascii="Arial Narrow" w:hAnsi="Arial Narrow"/>
        </w:rPr>
        <w:t xml:space="preserve">: </w:t>
      </w:r>
    </w:p>
    <w:bookmarkEnd w:id="1"/>
    <w:p w14:paraId="7B135583" w14:textId="5F4D3A2F" w:rsidR="00E16768" w:rsidRPr="00344221" w:rsidRDefault="00E16768" w:rsidP="00E16768">
      <w:pPr>
        <w:pStyle w:val="Prrafodelista"/>
        <w:numPr>
          <w:ilvl w:val="0"/>
          <w:numId w:val="6"/>
        </w:numPr>
        <w:spacing w:after="0" w:line="240" w:lineRule="auto"/>
        <w:ind w:left="1287"/>
        <w:jc w:val="both"/>
        <w:rPr>
          <w:rFonts w:ascii="Arial Narrow" w:hAnsi="Arial Narrow"/>
        </w:rPr>
      </w:pPr>
      <w:r w:rsidRPr="00344221">
        <w:rPr>
          <w:rFonts w:ascii="Arial Narrow" w:hAnsi="Arial Narrow"/>
        </w:rPr>
        <w:t xml:space="preserve">Arribaron al Perú </w:t>
      </w:r>
      <w:r w:rsidR="00B42F53" w:rsidRPr="00344221">
        <w:rPr>
          <w:rFonts w:ascii="Arial Narrow" w:hAnsi="Arial Narrow"/>
        </w:rPr>
        <w:t xml:space="preserve">896,523 </w:t>
      </w:r>
      <w:r w:rsidRPr="00344221">
        <w:rPr>
          <w:rFonts w:ascii="Arial Narrow" w:hAnsi="Arial Narrow"/>
        </w:rPr>
        <w:t>turistas internacionales</w:t>
      </w:r>
      <w:r w:rsidR="00861EB8" w:rsidRPr="00344221">
        <w:rPr>
          <w:rFonts w:ascii="Arial Narrow" w:hAnsi="Arial Narrow"/>
        </w:rPr>
        <w:t xml:space="preserve"> (-79.5%)</w:t>
      </w:r>
      <w:r w:rsidRPr="00344221">
        <w:rPr>
          <w:rFonts w:ascii="Arial Narrow" w:hAnsi="Arial Narrow"/>
        </w:rPr>
        <w:t xml:space="preserve">; </w:t>
      </w:r>
    </w:p>
    <w:p w14:paraId="2FC485CA" w14:textId="05EDF2BF" w:rsidR="00E16768" w:rsidRPr="00344221" w:rsidRDefault="00E16768" w:rsidP="00E16768">
      <w:pPr>
        <w:pStyle w:val="Prrafodelista"/>
        <w:numPr>
          <w:ilvl w:val="0"/>
          <w:numId w:val="6"/>
        </w:numPr>
        <w:spacing w:after="0" w:line="240" w:lineRule="auto"/>
        <w:ind w:left="1287"/>
        <w:jc w:val="both"/>
        <w:rPr>
          <w:rFonts w:ascii="Arial Narrow" w:hAnsi="Arial Narrow"/>
        </w:rPr>
      </w:pPr>
      <w:r w:rsidRPr="00344221">
        <w:rPr>
          <w:rFonts w:ascii="Arial Narrow" w:hAnsi="Arial Narrow"/>
        </w:rPr>
        <w:t xml:space="preserve">Se reportó un total de </w:t>
      </w:r>
      <w:r w:rsidR="00861EB8" w:rsidRPr="00344221">
        <w:rPr>
          <w:rFonts w:ascii="Arial Narrow" w:hAnsi="Arial Narrow"/>
        </w:rPr>
        <w:t>14</w:t>
      </w:r>
      <w:r w:rsidRPr="00344221">
        <w:rPr>
          <w:rFonts w:ascii="Arial Narrow" w:hAnsi="Arial Narrow"/>
        </w:rPr>
        <w:t>,</w:t>
      </w:r>
      <w:r w:rsidR="00861EB8" w:rsidRPr="00344221">
        <w:rPr>
          <w:rFonts w:ascii="Arial Narrow" w:hAnsi="Arial Narrow"/>
        </w:rPr>
        <w:t>3</w:t>
      </w:r>
      <w:r w:rsidRPr="00344221">
        <w:rPr>
          <w:rFonts w:ascii="Arial Narrow" w:hAnsi="Arial Narrow"/>
        </w:rPr>
        <w:t xml:space="preserve"> millones de viajes por turismo interno</w:t>
      </w:r>
      <w:r w:rsidR="00861EB8" w:rsidRPr="00344221">
        <w:rPr>
          <w:rFonts w:ascii="Arial Narrow" w:hAnsi="Arial Narrow"/>
        </w:rPr>
        <w:t xml:space="preserve"> (-70.4%)</w:t>
      </w:r>
      <w:r w:rsidRPr="00344221">
        <w:rPr>
          <w:rFonts w:ascii="Arial Narrow" w:hAnsi="Arial Narrow"/>
        </w:rPr>
        <w:t xml:space="preserve">;  </w:t>
      </w:r>
    </w:p>
    <w:p w14:paraId="252785AB" w14:textId="3DEA5A45" w:rsidR="00E16768" w:rsidRPr="00344221" w:rsidRDefault="00E16768" w:rsidP="00E16768">
      <w:pPr>
        <w:pStyle w:val="Prrafodelista"/>
        <w:numPr>
          <w:ilvl w:val="0"/>
          <w:numId w:val="6"/>
        </w:numPr>
        <w:spacing w:after="0" w:line="240" w:lineRule="auto"/>
        <w:ind w:left="1287"/>
        <w:jc w:val="both"/>
        <w:rPr>
          <w:rFonts w:ascii="Arial Narrow" w:hAnsi="Arial Narrow"/>
        </w:rPr>
      </w:pPr>
      <w:r w:rsidRPr="00344221">
        <w:rPr>
          <w:rFonts w:ascii="Arial Narrow" w:hAnsi="Arial Narrow"/>
        </w:rPr>
        <w:t>El sector tu</w:t>
      </w:r>
      <w:r w:rsidR="00861EB8" w:rsidRPr="00344221">
        <w:rPr>
          <w:rFonts w:ascii="Arial Narrow" w:hAnsi="Arial Narrow"/>
        </w:rPr>
        <w:t>rismo, generó un total US$ 1 002</w:t>
      </w:r>
      <w:r w:rsidRPr="00344221">
        <w:rPr>
          <w:rFonts w:ascii="Arial Narrow" w:hAnsi="Arial Narrow"/>
        </w:rPr>
        <w:t xml:space="preserve"> millones de divisas por turismo receptivo,</w:t>
      </w:r>
      <w:r w:rsidR="00861EB8" w:rsidRPr="00344221">
        <w:rPr>
          <w:rFonts w:ascii="Arial Narrow" w:hAnsi="Arial Narrow"/>
        </w:rPr>
        <w:t xml:space="preserve"> representando un -78.7%;</w:t>
      </w:r>
      <w:r w:rsidRPr="00344221">
        <w:rPr>
          <w:rFonts w:ascii="Arial Narrow" w:hAnsi="Arial Narrow"/>
        </w:rPr>
        <w:t xml:space="preserve"> </w:t>
      </w:r>
    </w:p>
    <w:p w14:paraId="5AE417AD" w14:textId="514324FE" w:rsidR="00E16768" w:rsidRPr="00344221" w:rsidRDefault="00861EB8" w:rsidP="00E16768">
      <w:pPr>
        <w:pStyle w:val="Prrafodelista"/>
        <w:numPr>
          <w:ilvl w:val="0"/>
          <w:numId w:val="6"/>
        </w:numPr>
        <w:spacing w:after="0" w:line="240" w:lineRule="auto"/>
        <w:ind w:left="1287"/>
        <w:jc w:val="both"/>
        <w:rPr>
          <w:rFonts w:ascii="Arial Narrow" w:hAnsi="Arial Narrow"/>
        </w:rPr>
      </w:pPr>
      <w:r w:rsidRPr="00344221">
        <w:rPr>
          <w:rFonts w:ascii="Arial Narrow" w:hAnsi="Arial Narrow"/>
        </w:rPr>
        <w:t>Se generaron 697</w:t>
      </w:r>
      <w:r w:rsidR="00E16768" w:rsidRPr="00344221">
        <w:rPr>
          <w:rFonts w:ascii="Arial Narrow" w:hAnsi="Arial Narrow"/>
        </w:rPr>
        <w:t xml:space="preserve"> mil empleos en turismo (directos e indirectos)</w:t>
      </w:r>
      <w:r w:rsidRPr="00344221">
        <w:rPr>
          <w:rFonts w:ascii="Arial Narrow" w:hAnsi="Arial Narrow"/>
        </w:rPr>
        <w:t xml:space="preserve"> ocasionando una reducción de -52.2%</w:t>
      </w:r>
      <w:r w:rsidR="00E16768" w:rsidRPr="00344221">
        <w:rPr>
          <w:rFonts w:ascii="Arial Narrow" w:hAnsi="Arial Narrow"/>
        </w:rPr>
        <w:t>.</w:t>
      </w:r>
    </w:p>
    <w:p w14:paraId="4CCE3767" w14:textId="77777777" w:rsidR="00E16768" w:rsidRDefault="00E16768" w:rsidP="004507EA">
      <w:pPr>
        <w:pBdr>
          <w:top w:val="nil"/>
          <w:left w:val="nil"/>
          <w:bottom w:val="nil"/>
          <w:right w:val="nil"/>
          <w:between w:val="nil"/>
        </w:pBdr>
        <w:spacing w:after="120" w:line="240" w:lineRule="auto"/>
        <w:ind w:left="284"/>
        <w:jc w:val="both"/>
        <w:rPr>
          <w:rFonts w:ascii="Arial Narrow" w:hAnsi="Arial Narrow"/>
          <w:b/>
          <w:bCs/>
        </w:rPr>
      </w:pPr>
    </w:p>
    <w:p w14:paraId="20368878" w14:textId="464C8878" w:rsidR="004507EA" w:rsidRPr="004C52FE" w:rsidRDefault="00882F42" w:rsidP="004507EA">
      <w:pPr>
        <w:pBdr>
          <w:top w:val="nil"/>
          <w:left w:val="nil"/>
          <w:bottom w:val="nil"/>
          <w:right w:val="nil"/>
          <w:between w:val="nil"/>
        </w:pBdr>
        <w:spacing w:after="120" w:line="240" w:lineRule="auto"/>
        <w:ind w:left="284"/>
        <w:jc w:val="both"/>
        <w:rPr>
          <w:rFonts w:ascii="Arial Narrow" w:hAnsi="Arial Narrow"/>
        </w:rPr>
      </w:pPr>
      <w:r w:rsidRPr="004C52FE">
        <w:rPr>
          <w:rFonts w:ascii="Arial Narrow" w:hAnsi="Arial Narrow"/>
          <w:b/>
          <w:bCs/>
        </w:rPr>
        <w:t>1</w:t>
      </w:r>
      <w:r w:rsidR="004507EA" w:rsidRPr="004C52FE">
        <w:rPr>
          <w:rFonts w:ascii="Arial Narrow" w:hAnsi="Arial Narrow"/>
          <w:b/>
          <w:bCs/>
        </w:rPr>
        <w:t xml:space="preserve">.2 </w:t>
      </w:r>
      <w:r w:rsidR="004F5A58" w:rsidRPr="004C52FE">
        <w:rPr>
          <w:rFonts w:ascii="Arial Narrow" w:hAnsi="Arial Narrow"/>
          <w:b/>
          <w:bCs/>
        </w:rPr>
        <w:t>Resultado</w:t>
      </w:r>
      <w:r w:rsidR="004507EA" w:rsidRPr="004C52FE">
        <w:rPr>
          <w:rFonts w:ascii="Arial Narrow" w:hAnsi="Arial Narrow"/>
          <w:b/>
          <w:bCs/>
        </w:rPr>
        <w:t xml:space="preserve"> de cada objetivo</w:t>
      </w:r>
      <w:r w:rsidRPr="004C52FE">
        <w:rPr>
          <w:rFonts w:ascii="Arial Narrow" w:hAnsi="Arial Narrow"/>
        </w:rPr>
        <w:t xml:space="preserve"> </w:t>
      </w:r>
    </w:p>
    <w:p w14:paraId="130664D4" w14:textId="2AD36023" w:rsidR="009A30D5" w:rsidRPr="00344221" w:rsidRDefault="008C68FA" w:rsidP="004507EA">
      <w:pPr>
        <w:pBdr>
          <w:top w:val="nil"/>
          <w:left w:val="nil"/>
          <w:bottom w:val="nil"/>
          <w:right w:val="nil"/>
          <w:between w:val="nil"/>
        </w:pBdr>
        <w:spacing w:after="120" w:line="240" w:lineRule="auto"/>
        <w:ind w:left="426"/>
        <w:jc w:val="both"/>
        <w:rPr>
          <w:rFonts w:ascii="Arial Narrow" w:hAnsi="Arial Narrow"/>
        </w:rPr>
      </w:pPr>
      <w:bookmarkStart w:id="2" w:name="_Hlk72764514"/>
      <w:r w:rsidRPr="00344221">
        <w:rPr>
          <w:rFonts w:ascii="Arial Narrow" w:hAnsi="Arial Narrow"/>
          <w:u w:val="single"/>
        </w:rPr>
        <w:t>Objetivo</w:t>
      </w:r>
      <w:r w:rsidRPr="00344221">
        <w:rPr>
          <w:rFonts w:ascii="Arial Narrow" w:hAnsi="Arial Narrow"/>
        </w:rPr>
        <w:t>:</w:t>
      </w:r>
      <w:r w:rsidR="007014D3" w:rsidRPr="00344221">
        <w:rPr>
          <w:rFonts w:ascii="Arial Narrow" w:hAnsi="Arial Narrow"/>
        </w:rPr>
        <w:t xml:space="preserve"> </w:t>
      </w:r>
    </w:p>
    <w:p w14:paraId="05A600F2" w14:textId="2D72DE2B" w:rsidR="008C68FA" w:rsidRPr="00344221" w:rsidRDefault="009A30D5" w:rsidP="004507EA">
      <w:pPr>
        <w:pBdr>
          <w:top w:val="nil"/>
          <w:left w:val="nil"/>
          <w:bottom w:val="nil"/>
          <w:right w:val="nil"/>
          <w:between w:val="nil"/>
        </w:pBdr>
        <w:spacing w:after="120" w:line="240" w:lineRule="auto"/>
        <w:ind w:left="426"/>
        <w:jc w:val="both"/>
        <w:rPr>
          <w:rFonts w:ascii="Arial Narrow" w:hAnsi="Arial Narrow"/>
          <w:u w:val="single"/>
        </w:rPr>
      </w:pPr>
      <w:r w:rsidRPr="00344221">
        <w:rPr>
          <w:rFonts w:ascii="Arial Narrow" w:hAnsi="Arial Narrow"/>
        </w:rPr>
        <w:t xml:space="preserve">El objetivo general del PENTUR 2025 es </w:t>
      </w:r>
      <w:r w:rsidR="007014D3" w:rsidRPr="00344221">
        <w:rPr>
          <w:rFonts w:ascii="Arial Narrow" w:hAnsi="Arial Narrow" w:cstheme="minorHAnsi"/>
          <w:i/>
        </w:rPr>
        <w:t>“Consolidar al Perú como destino turístico competitivo, sostenible, de calidad y seguro, donde a partir de una oferta diversa, lograda con participación de los actores del sector, el turista viva experiencias únicas para que se contribuya al desarrollo económico y social del país”.</w:t>
      </w:r>
    </w:p>
    <w:p w14:paraId="555F83B0" w14:textId="2E55A3F2" w:rsidR="009A30D5" w:rsidRPr="00344221" w:rsidRDefault="004507EA" w:rsidP="009A30D5">
      <w:pPr>
        <w:pBdr>
          <w:top w:val="nil"/>
          <w:left w:val="nil"/>
          <w:bottom w:val="nil"/>
          <w:right w:val="nil"/>
          <w:between w:val="nil"/>
        </w:pBdr>
        <w:spacing w:after="120" w:line="240" w:lineRule="auto"/>
        <w:ind w:left="426"/>
        <w:jc w:val="both"/>
        <w:rPr>
          <w:rFonts w:ascii="Arial Narrow" w:hAnsi="Arial Narrow"/>
          <w:u w:val="single"/>
        </w:rPr>
      </w:pPr>
      <w:r w:rsidRPr="00344221">
        <w:rPr>
          <w:rFonts w:ascii="Arial Narrow" w:hAnsi="Arial Narrow"/>
          <w:u w:val="single"/>
        </w:rPr>
        <w:t>Avance</w:t>
      </w:r>
      <w:r w:rsidRPr="00344221">
        <w:rPr>
          <w:rFonts w:ascii="Arial Narrow" w:hAnsi="Arial Narrow"/>
        </w:rPr>
        <w:t>:</w:t>
      </w:r>
    </w:p>
    <w:p w14:paraId="39778CF8" w14:textId="10A66619" w:rsidR="009A30D5" w:rsidRPr="00344221" w:rsidRDefault="009A30D5" w:rsidP="009A30D5">
      <w:pPr>
        <w:spacing w:after="120"/>
        <w:ind w:left="426"/>
        <w:jc w:val="both"/>
        <w:rPr>
          <w:rFonts w:ascii="Arial Narrow" w:hAnsi="Arial Narrow"/>
        </w:rPr>
      </w:pPr>
      <w:r w:rsidRPr="00344221">
        <w:rPr>
          <w:rFonts w:ascii="Arial Narrow" w:hAnsi="Arial Narrow"/>
        </w:rPr>
        <w:t>Entre las principales actividades realizadas en el año 2020 en materia de turismo, se destacan las siguientes:</w:t>
      </w:r>
    </w:p>
    <w:p w14:paraId="175127FA" w14:textId="54D0BEC6" w:rsidR="007C1A0C" w:rsidRPr="00344221" w:rsidRDefault="007C1A0C" w:rsidP="007C1A0C">
      <w:pPr>
        <w:pStyle w:val="Prrafodelista"/>
        <w:numPr>
          <w:ilvl w:val="0"/>
          <w:numId w:val="7"/>
        </w:numPr>
        <w:pBdr>
          <w:top w:val="nil"/>
          <w:left w:val="nil"/>
          <w:bottom w:val="nil"/>
          <w:right w:val="nil"/>
          <w:between w:val="nil"/>
        </w:pBdr>
        <w:spacing w:after="120" w:line="240" w:lineRule="auto"/>
        <w:jc w:val="both"/>
        <w:rPr>
          <w:rFonts w:ascii="Arial Narrow" w:hAnsi="Arial Narrow"/>
        </w:rPr>
      </w:pPr>
      <w:r w:rsidRPr="00344221">
        <w:rPr>
          <w:rFonts w:ascii="Arial Narrow" w:hAnsi="Arial Narrow"/>
        </w:rPr>
        <w:t>Siete (07) destinos turísticos seguros: Valle Sagrado, Cusco ciudad, Machupicchu, Miraflores, Ayacucho, Tarapoto y Moyobamba reconocidos con el sello</w:t>
      </w:r>
      <w:r w:rsidR="00EF5697" w:rsidRPr="00344221">
        <w:rPr>
          <w:rFonts w:ascii="Arial Narrow" w:hAnsi="Arial Narrow"/>
        </w:rPr>
        <w:t xml:space="preserve"> internacional</w:t>
      </w:r>
      <w:r w:rsidRPr="00344221">
        <w:rPr>
          <w:rFonts w:ascii="Arial Narrow" w:hAnsi="Arial Narrow"/>
        </w:rPr>
        <w:t xml:space="preserve"> Safe T</w:t>
      </w:r>
      <w:r w:rsidR="00EF5697" w:rsidRPr="00344221">
        <w:rPr>
          <w:rFonts w:ascii="Arial Narrow" w:hAnsi="Arial Narrow"/>
        </w:rPr>
        <w:t>ravels otorgado por el Consejo Mundial de Viajes y Turismo y MNCETUR.</w:t>
      </w:r>
    </w:p>
    <w:p w14:paraId="2174C35A" w14:textId="1845C1D2" w:rsidR="007C1A0C" w:rsidRPr="00344221" w:rsidRDefault="007C1A0C" w:rsidP="007C1A0C">
      <w:pPr>
        <w:pStyle w:val="Prrafodelista"/>
        <w:numPr>
          <w:ilvl w:val="0"/>
          <w:numId w:val="7"/>
        </w:numPr>
        <w:pBdr>
          <w:top w:val="nil"/>
          <w:left w:val="nil"/>
          <w:bottom w:val="nil"/>
          <w:right w:val="nil"/>
          <w:between w:val="nil"/>
        </w:pBdr>
        <w:spacing w:after="120" w:line="240" w:lineRule="auto"/>
        <w:jc w:val="both"/>
        <w:rPr>
          <w:rFonts w:ascii="Arial Narrow" w:hAnsi="Arial Narrow"/>
        </w:rPr>
      </w:pPr>
      <w:r w:rsidRPr="00344221">
        <w:rPr>
          <w:rFonts w:ascii="Arial Narrow" w:hAnsi="Arial Narrow"/>
        </w:rPr>
        <w:t xml:space="preserve">Fortalecimiento de cuatro (04) productos especializados de Naturaleza y aventura: </w:t>
      </w:r>
      <w:r w:rsidR="00EF5697" w:rsidRPr="00344221">
        <w:rPr>
          <w:rFonts w:ascii="Arial Narrow" w:hAnsi="Arial Narrow"/>
        </w:rPr>
        <w:t>Acciones de c</w:t>
      </w:r>
      <w:r w:rsidRPr="00344221">
        <w:rPr>
          <w:rFonts w:ascii="Arial Narrow" w:hAnsi="Arial Narrow"/>
        </w:rPr>
        <w:t>oordinación interinstitucional para el desarrollo de la Ruta del Pisco, Ruta de Aves, RICE y Termalismo.</w:t>
      </w:r>
    </w:p>
    <w:p w14:paraId="177726F2" w14:textId="77777777" w:rsidR="007C1A0C" w:rsidRPr="00344221" w:rsidRDefault="007C1A0C" w:rsidP="007C1A0C">
      <w:pPr>
        <w:pStyle w:val="Prrafodelista"/>
        <w:numPr>
          <w:ilvl w:val="0"/>
          <w:numId w:val="7"/>
        </w:numPr>
        <w:pBdr>
          <w:top w:val="nil"/>
          <w:left w:val="nil"/>
          <w:bottom w:val="nil"/>
          <w:right w:val="nil"/>
          <w:between w:val="nil"/>
        </w:pBdr>
        <w:spacing w:after="120" w:line="240" w:lineRule="auto"/>
        <w:jc w:val="both"/>
        <w:rPr>
          <w:rFonts w:ascii="Arial Narrow" w:hAnsi="Arial Narrow"/>
        </w:rPr>
      </w:pPr>
      <w:r w:rsidRPr="00344221">
        <w:rPr>
          <w:rFonts w:ascii="Arial Narrow" w:hAnsi="Arial Narrow"/>
        </w:rPr>
        <w:t>Ante los impactos negativos en la economía de las micro y pequeñas empresas del sector turismo, se han desarrollado acciones con el fin de inyectar liquidez a los prestadores de servicios turísticos a través del Programa Turismo Emprende:</w:t>
      </w:r>
    </w:p>
    <w:p w14:paraId="511DBDD2" w14:textId="77777777" w:rsidR="007C1A0C" w:rsidRPr="00344221" w:rsidRDefault="007C1A0C" w:rsidP="007C1A0C">
      <w:pPr>
        <w:pStyle w:val="Prrafodelista"/>
        <w:numPr>
          <w:ilvl w:val="1"/>
          <w:numId w:val="7"/>
        </w:numPr>
        <w:pBdr>
          <w:top w:val="nil"/>
          <w:left w:val="nil"/>
          <w:bottom w:val="nil"/>
          <w:right w:val="nil"/>
          <w:between w:val="nil"/>
        </w:pBdr>
        <w:spacing w:after="120" w:line="240" w:lineRule="auto"/>
        <w:jc w:val="both"/>
        <w:rPr>
          <w:rFonts w:ascii="Arial Narrow" w:hAnsi="Arial Narrow"/>
        </w:rPr>
      </w:pPr>
      <w:r w:rsidRPr="00344221">
        <w:rPr>
          <w:rFonts w:ascii="Arial Narrow" w:hAnsi="Arial Narrow"/>
        </w:rPr>
        <w:t xml:space="preserve">Concurso 2020- I: En su Cuarta Edición se incorporó como beneficiarios a los artesanos, por un monto de S/ 2.8 millones </w:t>
      </w:r>
      <w:r w:rsidRPr="00344221">
        <w:rPr>
          <w:rFonts w:ascii="Arial Narrow" w:hAnsi="Arial Narrow"/>
          <w:bCs/>
        </w:rPr>
        <w:t xml:space="preserve">contando con 28 emprendimientos de la actividad </w:t>
      </w:r>
      <w:r w:rsidRPr="00344221">
        <w:rPr>
          <w:rFonts w:ascii="Arial Narrow" w:hAnsi="Arial Narrow"/>
        </w:rPr>
        <w:t>turística</w:t>
      </w:r>
      <w:r w:rsidRPr="00344221">
        <w:rPr>
          <w:rFonts w:ascii="Arial Narrow" w:hAnsi="Arial Narrow"/>
          <w:bCs/>
        </w:rPr>
        <w:t xml:space="preserve"> y 13 de la actividad artesanal, sumando en total 41 beneficiarios.</w:t>
      </w:r>
    </w:p>
    <w:p w14:paraId="7D080C0F" w14:textId="77777777" w:rsidR="007C1A0C" w:rsidRPr="00344221" w:rsidRDefault="007C1A0C" w:rsidP="007C1A0C">
      <w:pPr>
        <w:pStyle w:val="Prrafodelista"/>
        <w:numPr>
          <w:ilvl w:val="1"/>
          <w:numId w:val="7"/>
        </w:numPr>
        <w:pBdr>
          <w:top w:val="nil"/>
          <w:left w:val="nil"/>
          <w:bottom w:val="nil"/>
          <w:right w:val="nil"/>
          <w:between w:val="nil"/>
        </w:pBdr>
        <w:spacing w:after="120" w:line="240" w:lineRule="auto"/>
        <w:jc w:val="both"/>
        <w:rPr>
          <w:rFonts w:ascii="Arial Narrow" w:hAnsi="Arial Narrow"/>
        </w:rPr>
      </w:pPr>
      <w:r w:rsidRPr="00344221">
        <w:rPr>
          <w:rFonts w:ascii="Arial Narrow" w:hAnsi="Arial Narrow"/>
        </w:rPr>
        <w:t xml:space="preserve">Concurso 2020- II: En su Quinta Edición lanzó un nuevo concurso en el marco de la reactivación económica, con un fondo de S/ 51,4 millones </w:t>
      </w:r>
      <w:r w:rsidRPr="00344221">
        <w:rPr>
          <w:rFonts w:ascii="Arial Narrow" w:hAnsi="Arial Narrow"/>
          <w:lang w:val="es-ES"/>
        </w:rPr>
        <w:t>contando con 610 beneficiarios de las 25 regiones del Perú</w:t>
      </w:r>
      <w:r w:rsidRPr="00344221">
        <w:rPr>
          <w:rFonts w:ascii="Arial Narrow" w:hAnsi="Arial Narrow"/>
        </w:rPr>
        <w:t>.</w:t>
      </w:r>
    </w:p>
    <w:p w14:paraId="38C3956F" w14:textId="77777777" w:rsidR="007C1A0C" w:rsidRPr="00344221" w:rsidRDefault="007C1A0C" w:rsidP="007C1A0C">
      <w:pPr>
        <w:pStyle w:val="Prrafodelista"/>
        <w:numPr>
          <w:ilvl w:val="1"/>
          <w:numId w:val="7"/>
        </w:numPr>
        <w:pBdr>
          <w:top w:val="nil"/>
          <w:left w:val="nil"/>
          <w:bottom w:val="nil"/>
          <w:right w:val="nil"/>
          <w:between w:val="nil"/>
        </w:pBdr>
        <w:spacing w:after="120" w:line="240" w:lineRule="auto"/>
        <w:jc w:val="both"/>
        <w:rPr>
          <w:rFonts w:ascii="Arial Narrow" w:hAnsi="Arial Narrow"/>
        </w:rPr>
      </w:pPr>
      <w:r w:rsidRPr="00344221">
        <w:rPr>
          <w:rFonts w:ascii="Arial Narrow" w:hAnsi="Arial Narrow"/>
        </w:rPr>
        <w:lastRenderedPageBreak/>
        <w:t>Concurso Público 2020-III: Mediante lo señalado en la Primera Disposición Complementaria Final del Decreto de Urgencia N° 116-2020, autoriza al MINCETUR, de manera excepcional, durante el Año Fiscal 2020, a utilizar la suma de hasta S/ 18 183 523,00 para beneficiar a Guías Oficiales de Turismo y Artesanos.</w:t>
      </w:r>
    </w:p>
    <w:p w14:paraId="4729C0BE" w14:textId="77777777" w:rsidR="00D921BF" w:rsidRPr="00344221" w:rsidRDefault="00D921BF" w:rsidP="00D921BF">
      <w:pPr>
        <w:pStyle w:val="Prrafodelista"/>
        <w:numPr>
          <w:ilvl w:val="0"/>
          <w:numId w:val="7"/>
        </w:numPr>
        <w:pBdr>
          <w:top w:val="nil"/>
          <w:left w:val="nil"/>
          <w:bottom w:val="nil"/>
          <w:right w:val="nil"/>
          <w:between w:val="nil"/>
        </w:pBdr>
        <w:spacing w:after="120" w:line="240" w:lineRule="auto"/>
        <w:jc w:val="both"/>
        <w:rPr>
          <w:rFonts w:ascii="Arial Narrow" w:hAnsi="Arial Narrow"/>
        </w:rPr>
      </w:pPr>
      <w:r w:rsidRPr="00344221">
        <w:rPr>
          <w:rFonts w:ascii="Arial Narrow" w:hAnsi="Arial Narrow"/>
        </w:rPr>
        <w:t>Se logró ejecutar S/ 38,8 millones en inversión pública en turismo, logrando alcanzar el 98,2% del presupuesto programado (S/ 39,5 millones), siendo los siguientes resultados:</w:t>
      </w:r>
    </w:p>
    <w:p w14:paraId="27D411F7" w14:textId="77777777" w:rsidR="00D921BF" w:rsidRPr="00344221" w:rsidRDefault="00D921BF" w:rsidP="00D921BF">
      <w:pPr>
        <w:pStyle w:val="Prrafodelista"/>
        <w:numPr>
          <w:ilvl w:val="1"/>
          <w:numId w:val="7"/>
        </w:numPr>
        <w:pBdr>
          <w:top w:val="nil"/>
          <w:left w:val="nil"/>
          <w:bottom w:val="nil"/>
          <w:right w:val="nil"/>
          <w:between w:val="nil"/>
        </w:pBdr>
        <w:spacing w:after="120" w:line="240" w:lineRule="auto"/>
        <w:jc w:val="both"/>
        <w:rPr>
          <w:rFonts w:ascii="Arial Narrow" w:hAnsi="Arial Narrow"/>
        </w:rPr>
      </w:pPr>
      <w:r w:rsidRPr="00344221">
        <w:rPr>
          <w:rFonts w:ascii="Arial Narrow" w:hAnsi="Arial Narrow"/>
        </w:rPr>
        <w:t xml:space="preserve">Culminación de una (01) obra “Mejoramiento de los Servicios Turísticos Públicos de la Ruta del Café: Chanchamayo – Villa Rica, sector Villa Rica, provincia de Oxapampa, departamento de Pasco” – Componente Vías”. </w:t>
      </w:r>
    </w:p>
    <w:p w14:paraId="0DC1FB83" w14:textId="77777777" w:rsidR="00D921BF" w:rsidRPr="00344221" w:rsidRDefault="00D921BF" w:rsidP="00D921BF">
      <w:pPr>
        <w:pStyle w:val="Prrafodelista"/>
        <w:numPr>
          <w:ilvl w:val="1"/>
          <w:numId w:val="7"/>
        </w:numPr>
        <w:pBdr>
          <w:top w:val="nil"/>
          <w:left w:val="nil"/>
          <w:bottom w:val="nil"/>
          <w:right w:val="nil"/>
          <w:between w:val="nil"/>
        </w:pBdr>
        <w:spacing w:after="120" w:line="240" w:lineRule="auto"/>
        <w:jc w:val="both"/>
        <w:rPr>
          <w:rFonts w:ascii="Arial Narrow" w:hAnsi="Arial Narrow"/>
        </w:rPr>
      </w:pPr>
      <w:r w:rsidRPr="00344221">
        <w:rPr>
          <w:rFonts w:ascii="Arial Narrow" w:hAnsi="Arial Narrow"/>
        </w:rPr>
        <w:t>Aprobación de dos (02) Expedientes Técnicos de Saldos de Obra: Lamas (San Martin) y Camposanto Yungay (Ancash).</w:t>
      </w:r>
    </w:p>
    <w:p w14:paraId="65DA8EB4" w14:textId="77777777" w:rsidR="00D921BF" w:rsidRPr="00344221" w:rsidRDefault="00D921BF" w:rsidP="00D921BF">
      <w:pPr>
        <w:pStyle w:val="Prrafodelista"/>
        <w:numPr>
          <w:ilvl w:val="1"/>
          <w:numId w:val="7"/>
        </w:numPr>
        <w:pBdr>
          <w:top w:val="nil"/>
          <w:left w:val="nil"/>
          <w:bottom w:val="nil"/>
          <w:right w:val="nil"/>
          <w:between w:val="nil"/>
        </w:pBdr>
        <w:spacing w:after="120" w:line="240" w:lineRule="auto"/>
        <w:jc w:val="both"/>
        <w:rPr>
          <w:rFonts w:ascii="Arial Narrow" w:hAnsi="Arial Narrow"/>
        </w:rPr>
      </w:pPr>
      <w:r w:rsidRPr="00344221">
        <w:rPr>
          <w:rFonts w:ascii="Arial Narrow" w:hAnsi="Arial Narrow"/>
        </w:rPr>
        <w:t xml:space="preserve">Declaración de viabilidad de cuatro (04) Estudios de Preinversión: Quinta Presa (Lima), Malecón Grau (La Libertad), Pueblo Alfarero Huancas y Cañón del Sonche (Amazonas) y Santuario Nacional Manglares de Tumbes (Tumbes). </w:t>
      </w:r>
    </w:p>
    <w:p w14:paraId="4A1EE13F" w14:textId="4B777DDB" w:rsidR="007C1A0C" w:rsidRPr="00344221" w:rsidRDefault="007C1A0C" w:rsidP="007C1A0C">
      <w:pPr>
        <w:pStyle w:val="Prrafodelista"/>
        <w:numPr>
          <w:ilvl w:val="0"/>
          <w:numId w:val="7"/>
        </w:numPr>
        <w:pBdr>
          <w:top w:val="nil"/>
          <w:left w:val="nil"/>
          <w:bottom w:val="nil"/>
          <w:right w:val="nil"/>
          <w:between w:val="nil"/>
        </w:pBdr>
        <w:spacing w:after="0" w:line="240" w:lineRule="auto"/>
        <w:ind w:left="1145" w:hanging="357"/>
        <w:jc w:val="both"/>
        <w:rPr>
          <w:rFonts w:ascii="Arial Narrow" w:hAnsi="Arial Narrow"/>
        </w:rPr>
      </w:pPr>
      <w:r w:rsidRPr="00344221">
        <w:rPr>
          <w:rFonts w:ascii="Arial Narrow" w:hAnsi="Arial Narrow"/>
          <w:lang w:val="es-ES"/>
        </w:rPr>
        <w:t xml:space="preserve">Gestión de la aprobación y publicación de diez (10) protocolos sanitarios sectoriales ante el COVID-19: </w:t>
      </w:r>
      <w:r w:rsidRPr="00344221">
        <w:rPr>
          <w:rFonts w:ascii="Arial Narrow" w:hAnsi="Arial Narrow"/>
          <w:bCs/>
          <w:lang w:val="es-MX"/>
        </w:rPr>
        <w:t>Protocolo sanitario sectorial ante el COVID-19 para</w:t>
      </w:r>
      <w:r w:rsidRPr="00344221">
        <w:rPr>
          <w:rFonts w:ascii="Arial Narrow" w:hAnsi="Arial Narrow"/>
        </w:rPr>
        <w:t xml:space="preserve"> prestadores de servicios turísticos (alojamiento, agencia de viajes y turismo, guiado turístico), turismo de aventura, </w:t>
      </w:r>
      <w:r w:rsidR="000C1428" w:rsidRPr="00344221">
        <w:rPr>
          <w:rFonts w:ascii="Arial Narrow" w:hAnsi="Arial Narrow"/>
        </w:rPr>
        <w:t xml:space="preserve">canotaje, caminata y alta montaña, </w:t>
      </w:r>
      <w:r w:rsidRPr="00344221">
        <w:rPr>
          <w:rFonts w:ascii="Arial Narrow" w:hAnsi="Arial Narrow"/>
        </w:rPr>
        <w:t>casinos y máquinas tragamonedas, turismo de reuniones y destinos turísticos.</w:t>
      </w:r>
    </w:p>
    <w:p w14:paraId="1DB408A1" w14:textId="77777777" w:rsidR="007C1A0C" w:rsidRPr="00344221" w:rsidRDefault="007C1A0C" w:rsidP="007C1A0C">
      <w:pPr>
        <w:pStyle w:val="Prrafodelista"/>
        <w:widowControl w:val="0"/>
        <w:numPr>
          <w:ilvl w:val="0"/>
          <w:numId w:val="7"/>
        </w:numPr>
        <w:pBdr>
          <w:top w:val="nil"/>
          <w:left w:val="nil"/>
          <w:bottom w:val="nil"/>
          <w:right w:val="nil"/>
          <w:between w:val="nil"/>
        </w:pBdr>
        <w:autoSpaceDE w:val="0"/>
        <w:autoSpaceDN w:val="0"/>
        <w:spacing w:after="0" w:line="240" w:lineRule="auto"/>
        <w:ind w:left="1145" w:hanging="357"/>
        <w:contextualSpacing w:val="0"/>
        <w:jc w:val="both"/>
        <w:rPr>
          <w:rFonts w:ascii="Arial Narrow" w:hAnsi="Arial Narrow"/>
        </w:rPr>
      </w:pPr>
      <w:r w:rsidRPr="00344221">
        <w:rPr>
          <w:rFonts w:ascii="Arial Narrow" w:hAnsi="Arial Narrow"/>
        </w:rPr>
        <w:t>Incremento del 20.46% en el número de prestadores de servicios turísticos registrados ante el sector turismo (pasando de 20 448 a 24 631 registros en el Directorio Nacional).</w:t>
      </w:r>
    </w:p>
    <w:p w14:paraId="1EBBBAB1" w14:textId="77777777" w:rsidR="007C1A0C" w:rsidRPr="00344221" w:rsidRDefault="007C1A0C" w:rsidP="007C1A0C">
      <w:pPr>
        <w:pStyle w:val="Prrafodelista"/>
        <w:widowControl w:val="0"/>
        <w:numPr>
          <w:ilvl w:val="0"/>
          <w:numId w:val="7"/>
        </w:numPr>
        <w:pBdr>
          <w:top w:val="nil"/>
          <w:left w:val="nil"/>
          <w:bottom w:val="nil"/>
          <w:right w:val="nil"/>
          <w:between w:val="nil"/>
        </w:pBdr>
        <w:autoSpaceDE w:val="0"/>
        <w:autoSpaceDN w:val="0"/>
        <w:spacing w:after="0" w:line="240" w:lineRule="auto"/>
        <w:ind w:left="1145" w:hanging="357"/>
        <w:contextualSpacing w:val="0"/>
        <w:jc w:val="both"/>
        <w:rPr>
          <w:rFonts w:ascii="Arial Narrow" w:hAnsi="Arial Narrow"/>
        </w:rPr>
      </w:pPr>
      <w:r w:rsidRPr="00344221">
        <w:rPr>
          <w:rFonts w:ascii="Arial Narrow" w:hAnsi="Arial Narrow"/>
        </w:rPr>
        <w:t>Inscripción de 7,202 nuevos artesanos en el Registro Nacional del Artesano.</w:t>
      </w:r>
    </w:p>
    <w:p w14:paraId="22F5E69A" w14:textId="5831CA7C" w:rsidR="007C1A0C" w:rsidRPr="00344221" w:rsidRDefault="007C1A0C" w:rsidP="007C1A0C">
      <w:pPr>
        <w:pStyle w:val="Prrafodelista"/>
        <w:numPr>
          <w:ilvl w:val="0"/>
          <w:numId w:val="7"/>
        </w:numPr>
        <w:pBdr>
          <w:top w:val="nil"/>
          <w:left w:val="nil"/>
          <w:bottom w:val="nil"/>
          <w:right w:val="nil"/>
          <w:between w:val="nil"/>
        </w:pBdr>
        <w:spacing w:after="0" w:line="240" w:lineRule="auto"/>
        <w:ind w:left="1145" w:hanging="357"/>
        <w:jc w:val="both"/>
        <w:rPr>
          <w:rFonts w:ascii="Arial Narrow" w:hAnsi="Arial Narrow"/>
        </w:rPr>
      </w:pPr>
      <w:r w:rsidRPr="00344221">
        <w:rPr>
          <w:rFonts w:ascii="Arial Narrow" w:hAnsi="Arial Narrow"/>
        </w:rPr>
        <w:t>Otorgamiento de 03 Certificaciones Ambientales a los siguientes proyectos de inversión con fines turísticos: Ceiba Sandoval Lodge (Madre de Dios), Hotel Bocanegra (Lima), Apart Hotel Suites Pardo (Lima Metropolitana).</w:t>
      </w:r>
    </w:p>
    <w:p w14:paraId="587A96E0" w14:textId="77777777" w:rsidR="007C1A0C" w:rsidRPr="00344221" w:rsidRDefault="007C1A0C" w:rsidP="007C1A0C">
      <w:pPr>
        <w:pStyle w:val="Prrafodelista"/>
        <w:numPr>
          <w:ilvl w:val="0"/>
          <w:numId w:val="7"/>
        </w:numPr>
        <w:pBdr>
          <w:top w:val="nil"/>
          <w:left w:val="nil"/>
          <w:bottom w:val="nil"/>
          <w:right w:val="nil"/>
          <w:between w:val="nil"/>
        </w:pBdr>
        <w:spacing w:after="120" w:line="240" w:lineRule="auto"/>
        <w:jc w:val="both"/>
        <w:rPr>
          <w:rFonts w:ascii="Arial Narrow" w:hAnsi="Arial Narrow"/>
        </w:rPr>
      </w:pPr>
      <w:r w:rsidRPr="00344221">
        <w:rPr>
          <w:rFonts w:ascii="Arial Narrow" w:hAnsi="Arial Narrow"/>
        </w:rPr>
        <w:t>Se logró informar y sensibilizar a un total de 8,695 y a 6,042 funcionarios, servidores y prestadores de servicios turísticos en materia de Prevención de la Explotación Sexual de Niños, Niñas y Adolescentes y Cultura Turística, respectivamente.</w:t>
      </w:r>
    </w:p>
    <w:p w14:paraId="71FAF533" w14:textId="77777777" w:rsidR="007C1A0C" w:rsidRPr="00344221" w:rsidRDefault="007C1A0C" w:rsidP="007C1A0C">
      <w:pPr>
        <w:pStyle w:val="Prrafodelista"/>
        <w:numPr>
          <w:ilvl w:val="0"/>
          <w:numId w:val="7"/>
        </w:numPr>
        <w:pBdr>
          <w:top w:val="nil"/>
          <w:left w:val="nil"/>
          <w:bottom w:val="nil"/>
          <w:right w:val="nil"/>
          <w:between w:val="nil"/>
        </w:pBdr>
        <w:spacing w:after="120" w:line="240" w:lineRule="auto"/>
        <w:jc w:val="both"/>
        <w:rPr>
          <w:rFonts w:ascii="Arial Narrow" w:hAnsi="Arial Narrow"/>
        </w:rPr>
      </w:pPr>
      <w:r w:rsidRPr="00344221">
        <w:rPr>
          <w:rFonts w:ascii="Arial Narrow" w:hAnsi="Arial Narrow"/>
        </w:rPr>
        <w:t>Se gestionó la elaboración de un Plan de Alerta Temprana, así como Protocolos de Respuesta y Contingencia para el Corredor Turístico Cusco – Machupicchu.</w:t>
      </w:r>
    </w:p>
    <w:p w14:paraId="439D9FF6" w14:textId="77777777" w:rsidR="007C1A0C" w:rsidRPr="00344221" w:rsidRDefault="007C1A0C" w:rsidP="007C1A0C">
      <w:pPr>
        <w:pStyle w:val="Prrafodelista"/>
        <w:numPr>
          <w:ilvl w:val="0"/>
          <w:numId w:val="7"/>
        </w:numPr>
        <w:pBdr>
          <w:top w:val="nil"/>
          <w:left w:val="nil"/>
          <w:bottom w:val="nil"/>
          <w:right w:val="nil"/>
          <w:between w:val="nil"/>
        </w:pBdr>
        <w:spacing w:after="120" w:line="240" w:lineRule="auto"/>
        <w:jc w:val="both"/>
        <w:rPr>
          <w:rFonts w:ascii="Arial Narrow" w:hAnsi="Arial Narrow"/>
        </w:rPr>
      </w:pPr>
      <w:r w:rsidRPr="00344221">
        <w:rPr>
          <w:rFonts w:ascii="Arial Narrow" w:hAnsi="Arial Narrow"/>
        </w:rPr>
        <w:t>Se logró culminar la etapa de formulación de tres (04) PERTUR – Plan Estratégico Regional de Turismo de las regiones Cusco, Ancash, Ayacucho y Lima. Al cierre del año 2020, se cuenta en total con 22 PERTUR culminados a nivel nacional.</w:t>
      </w:r>
    </w:p>
    <w:p w14:paraId="110E72B7" w14:textId="152A93A5" w:rsidR="007C1A0C" w:rsidRPr="00344221" w:rsidRDefault="007C1A0C" w:rsidP="007C1A0C">
      <w:pPr>
        <w:pStyle w:val="Prrafodelista"/>
        <w:numPr>
          <w:ilvl w:val="0"/>
          <w:numId w:val="7"/>
        </w:numPr>
        <w:pBdr>
          <w:top w:val="nil"/>
          <w:left w:val="nil"/>
          <w:bottom w:val="nil"/>
          <w:right w:val="nil"/>
          <w:between w:val="nil"/>
        </w:pBdr>
        <w:spacing w:after="120" w:line="240" w:lineRule="auto"/>
        <w:jc w:val="both"/>
        <w:rPr>
          <w:rFonts w:ascii="Arial Narrow" w:hAnsi="Arial Narrow"/>
        </w:rPr>
      </w:pPr>
      <w:r w:rsidRPr="00344221">
        <w:rPr>
          <w:rFonts w:ascii="Arial Narrow" w:hAnsi="Arial Narrow"/>
        </w:rPr>
        <w:t xml:space="preserve">Se </w:t>
      </w:r>
      <w:r w:rsidR="00732F5E" w:rsidRPr="00344221">
        <w:rPr>
          <w:rFonts w:ascii="Arial Narrow" w:hAnsi="Arial Narrow"/>
        </w:rPr>
        <w:t xml:space="preserve">brindó asistencia técnica para la </w:t>
      </w:r>
      <w:r w:rsidRPr="00344221">
        <w:rPr>
          <w:rFonts w:ascii="Arial Narrow" w:hAnsi="Arial Narrow"/>
        </w:rPr>
        <w:t>e</w:t>
      </w:r>
      <w:r w:rsidR="00732F5E" w:rsidRPr="00344221">
        <w:rPr>
          <w:rFonts w:ascii="Arial Narrow" w:hAnsi="Arial Narrow"/>
        </w:rPr>
        <w:t xml:space="preserve">laboraron dos (02) </w:t>
      </w:r>
      <w:r w:rsidRPr="00344221">
        <w:rPr>
          <w:rFonts w:ascii="Arial Narrow" w:hAnsi="Arial Narrow"/>
        </w:rPr>
        <w:t>Plane</w:t>
      </w:r>
      <w:r w:rsidR="00732F5E" w:rsidRPr="00344221">
        <w:rPr>
          <w:rFonts w:ascii="Arial Narrow" w:hAnsi="Arial Narrow"/>
        </w:rPr>
        <w:t xml:space="preserve">s de Desarrollo Turístico Local - PDTL </w:t>
      </w:r>
      <w:r w:rsidRPr="00344221">
        <w:rPr>
          <w:rFonts w:ascii="Arial Narrow" w:hAnsi="Arial Narrow"/>
        </w:rPr>
        <w:t>de la Municipalidad Distrital de Miraflores (aprobado con Ordenanza Municipal Nº 549/MM del 24.07.2020 y de la Municipalidad Distrital de Barranco (aprobado con Ordenanza Municipal N° 554-2020-MDB del 30.12.2020)</w:t>
      </w:r>
      <w:r w:rsidR="00732F5E" w:rsidRPr="00344221">
        <w:rPr>
          <w:rFonts w:ascii="Arial Narrow" w:hAnsi="Arial Narrow"/>
        </w:rPr>
        <w:t>.</w:t>
      </w:r>
    </w:p>
    <w:p w14:paraId="0931D9BB" w14:textId="17ECECD3" w:rsidR="007C1A0C" w:rsidRPr="00344221" w:rsidRDefault="007C1A0C" w:rsidP="000C1428">
      <w:pPr>
        <w:pStyle w:val="Prrafodelista"/>
        <w:numPr>
          <w:ilvl w:val="0"/>
          <w:numId w:val="7"/>
        </w:numPr>
        <w:pBdr>
          <w:top w:val="nil"/>
          <w:left w:val="nil"/>
          <w:bottom w:val="nil"/>
          <w:right w:val="nil"/>
          <w:between w:val="nil"/>
        </w:pBdr>
        <w:spacing w:after="0" w:line="240" w:lineRule="auto"/>
        <w:ind w:left="1145" w:hanging="357"/>
        <w:jc w:val="both"/>
        <w:rPr>
          <w:rFonts w:ascii="Arial Narrow" w:hAnsi="Arial Narrow"/>
        </w:rPr>
      </w:pPr>
      <w:r w:rsidRPr="00344221">
        <w:rPr>
          <w:rFonts w:ascii="Arial Narrow" w:hAnsi="Arial Narrow"/>
        </w:rPr>
        <w:t>1,535 funcionarios regionales fueron capacitados en gestión turística en 22 regiones respecto al “Manual de Inventario de Recursos Turísticos”.</w:t>
      </w:r>
    </w:p>
    <w:p w14:paraId="4DEC9A09" w14:textId="77777777" w:rsidR="00DC1B81" w:rsidRPr="00344221" w:rsidRDefault="00DC1B81" w:rsidP="00DC1B81">
      <w:pPr>
        <w:pBdr>
          <w:top w:val="nil"/>
          <w:left w:val="nil"/>
          <w:bottom w:val="nil"/>
          <w:right w:val="nil"/>
          <w:between w:val="nil"/>
        </w:pBdr>
        <w:spacing w:after="0" w:line="240" w:lineRule="auto"/>
        <w:ind w:left="425"/>
        <w:jc w:val="both"/>
        <w:rPr>
          <w:rFonts w:ascii="Arial Narrow" w:hAnsi="Arial Narrow"/>
          <w:u w:val="single"/>
        </w:rPr>
      </w:pPr>
    </w:p>
    <w:p w14:paraId="7E83CF1F" w14:textId="6181DC48" w:rsidR="004507EA" w:rsidRPr="00344221" w:rsidRDefault="004507EA" w:rsidP="00DC1B81">
      <w:pPr>
        <w:pBdr>
          <w:top w:val="nil"/>
          <w:left w:val="nil"/>
          <w:bottom w:val="nil"/>
          <w:right w:val="nil"/>
          <w:between w:val="nil"/>
        </w:pBdr>
        <w:spacing w:after="120" w:line="240" w:lineRule="auto"/>
        <w:ind w:left="425"/>
        <w:jc w:val="both"/>
        <w:rPr>
          <w:rFonts w:ascii="Arial Narrow" w:hAnsi="Arial Narrow"/>
        </w:rPr>
      </w:pPr>
      <w:r w:rsidRPr="00344221">
        <w:rPr>
          <w:rFonts w:ascii="Arial Narrow" w:hAnsi="Arial Narrow"/>
          <w:u w:val="single"/>
        </w:rPr>
        <w:t>Situación de intervenciones y uso de recursos</w:t>
      </w:r>
      <w:r w:rsidRPr="00344221">
        <w:rPr>
          <w:rFonts w:ascii="Arial Narrow" w:hAnsi="Arial Narrow"/>
        </w:rPr>
        <w:t xml:space="preserve">: </w:t>
      </w:r>
    </w:p>
    <w:p w14:paraId="72EE7722" w14:textId="57E8B048" w:rsidR="006C3716" w:rsidRPr="00344221" w:rsidRDefault="006C3716" w:rsidP="006C3716">
      <w:pPr>
        <w:spacing w:after="120" w:line="240" w:lineRule="auto"/>
        <w:ind w:left="425"/>
        <w:jc w:val="both"/>
        <w:rPr>
          <w:rFonts w:ascii="Arial Narrow" w:hAnsi="Arial Narrow"/>
        </w:rPr>
      </w:pPr>
      <w:r w:rsidRPr="00344221">
        <w:rPr>
          <w:rFonts w:ascii="Arial Narrow" w:hAnsi="Arial Narrow"/>
        </w:rPr>
        <w:t>Entre las principales intervenciones llevadas a cabo con la finalidad de alcanzar el objetivo general del PENTUR resaltan las inversiones realizadas en infraestructura turística, la elaboración e implementación de Planes Estratégicos Regionales de Turismo (PERTUR), la gestión ambiental turística, la mejora de la competitividad de los prestadores de servicios turísticos y la promoción del desarrollo de la actividad artesanal.</w:t>
      </w:r>
    </w:p>
    <w:p w14:paraId="14BFA887" w14:textId="17B10BE0" w:rsidR="00193F48" w:rsidRPr="00344221" w:rsidRDefault="00193F48" w:rsidP="006C3716">
      <w:pPr>
        <w:spacing w:after="120" w:line="240" w:lineRule="auto"/>
        <w:ind w:left="425"/>
        <w:jc w:val="both"/>
        <w:rPr>
          <w:rFonts w:ascii="Arial Narrow" w:hAnsi="Arial Narrow"/>
        </w:rPr>
      </w:pPr>
    </w:p>
    <w:p w14:paraId="7E215920" w14:textId="77777777" w:rsidR="00193F48" w:rsidRPr="00344221" w:rsidRDefault="00193F48" w:rsidP="006C3716">
      <w:pPr>
        <w:spacing w:after="120" w:line="240" w:lineRule="auto"/>
        <w:ind w:left="425"/>
        <w:jc w:val="both"/>
        <w:rPr>
          <w:rFonts w:ascii="Arial Narrow" w:hAnsi="Arial Narrow"/>
        </w:rPr>
      </w:pPr>
    </w:p>
    <w:p w14:paraId="26A646CD" w14:textId="69CCB72A" w:rsidR="007C1A0C" w:rsidRPr="00344221" w:rsidRDefault="007C1A0C" w:rsidP="00DC1B81">
      <w:pPr>
        <w:pBdr>
          <w:top w:val="nil"/>
          <w:left w:val="nil"/>
          <w:bottom w:val="nil"/>
          <w:right w:val="nil"/>
          <w:between w:val="nil"/>
        </w:pBdr>
        <w:spacing w:after="120" w:line="240" w:lineRule="auto"/>
        <w:ind w:left="426"/>
        <w:jc w:val="both"/>
        <w:rPr>
          <w:rFonts w:ascii="Arial Narrow" w:hAnsi="Arial Narrow"/>
        </w:rPr>
      </w:pPr>
      <w:r w:rsidRPr="00344221">
        <w:rPr>
          <w:rFonts w:ascii="Arial Narrow" w:hAnsi="Arial Narrow"/>
        </w:rPr>
        <w:t xml:space="preserve">En relación al desarrollo de una oferta sostenible del Sector Turismo, el MINCETUR ha suscrito Convenios Específicos con los gobiernos regionales y locales para el sub licenciamiento del sello internacional Safe Travels logrando reconocer a siete (07) destinos turísticos seguros: Valle Sagrado, </w:t>
      </w:r>
      <w:r w:rsidRPr="00344221">
        <w:rPr>
          <w:rFonts w:ascii="Arial Narrow" w:hAnsi="Arial Narrow"/>
        </w:rPr>
        <w:lastRenderedPageBreak/>
        <w:t xml:space="preserve">Cusco ciudad, Machupicchu, Miraflores, Ayacucho, Tarapoto y Moyobamba, los cuales cumplen con las medidas sanitarias y protocolos en el marco de la prevención ante la COVID-19.  </w:t>
      </w:r>
    </w:p>
    <w:p w14:paraId="6D9BAE1B" w14:textId="185B2727" w:rsidR="006C3716" w:rsidRPr="00344221" w:rsidRDefault="00780715" w:rsidP="00DC1B81">
      <w:pPr>
        <w:pBdr>
          <w:top w:val="nil"/>
          <w:left w:val="nil"/>
          <w:bottom w:val="nil"/>
          <w:right w:val="nil"/>
          <w:between w:val="nil"/>
        </w:pBdr>
        <w:spacing w:after="120" w:line="240" w:lineRule="auto"/>
        <w:ind w:left="426"/>
        <w:jc w:val="both"/>
        <w:rPr>
          <w:rFonts w:ascii="Arial Narrow" w:hAnsi="Arial Narrow"/>
        </w:rPr>
      </w:pPr>
      <w:r w:rsidRPr="00344221">
        <w:rPr>
          <w:rFonts w:ascii="Arial Narrow" w:hAnsi="Arial Narrow"/>
        </w:rPr>
        <w:t>Además, en el contexto de la reactivación resultado por la pandemia del COVID – 19, que ha generado impactos negativos en la economía de las micro y pequeñas empresas del sector turismo, se han venido planteando acciones con el fin de inyectar liquidez a los prestadores de servicios siendo uno de ellos los 3 Concursos del Programa Turismo Emprende, los cuales incluyeron como grupo de beneficiarios a los emprendimientos artesanales.</w:t>
      </w:r>
    </w:p>
    <w:p w14:paraId="6CE1516A" w14:textId="77777777" w:rsidR="006C3716" w:rsidRPr="00344221" w:rsidRDefault="006C3716" w:rsidP="006C3716">
      <w:pPr>
        <w:ind w:left="426"/>
        <w:jc w:val="both"/>
        <w:rPr>
          <w:rFonts w:ascii="Arial Narrow" w:hAnsi="Arial Narrow"/>
        </w:rPr>
      </w:pPr>
      <w:r w:rsidRPr="00344221">
        <w:rPr>
          <w:rFonts w:ascii="Arial Narrow" w:hAnsi="Arial Narrow"/>
        </w:rPr>
        <w:t>Adicionalmente, es preciso señalar que en el año 2020, se logró culminar la obra denominada “Mejoramiento de los Servicios Turísticos Públicos de la Ruta del Café: Chanchamayo – Villa Rica, sector Villa Rica, provincia de Oxapampa, departamento de Pasco” – Componente Vías”, el cual comprende entre otros, la remodelación del acceso vehicular y peatonal del entorno urbano principal de Villa Rica que da acceso a la plaza de armas (pavimentos, veredas, cunetas, alcantarillas y mobiliario urbano), así como la implementación de Señalización Turística, en favor de 331,454 beneficiarios</w:t>
      </w:r>
      <w:r w:rsidRPr="00344221">
        <w:rPr>
          <w:rFonts w:ascii="Arial Narrow" w:hAnsi="Arial Narrow"/>
          <w:vertAlign w:val="superscript"/>
        </w:rPr>
        <w:footnoteReference w:id="1"/>
      </w:r>
      <w:r w:rsidRPr="00344221">
        <w:rPr>
          <w:rFonts w:ascii="Arial Narrow" w:hAnsi="Arial Narrow"/>
        </w:rPr>
        <w:t>.</w:t>
      </w:r>
    </w:p>
    <w:p w14:paraId="701E3FFE" w14:textId="1443E7EC" w:rsidR="006C3716" w:rsidRPr="00344221" w:rsidRDefault="006C3716" w:rsidP="007C1A0C">
      <w:pPr>
        <w:pBdr>
          <w:top w:val="nil"/>
          <w:left w:val="nil"/>
          <w:bottom w:val="nil"/>
          <w:right w:val="nil"/>
          <w:between w:val="nil"/>
        </w:pBdr>
        <w:spacing w:after="120" w:line="240" w:lineRule="auto"/>
        <w:ind w:left="426"/>
        <w:jc w:val="both"/>
        <w:rPr>
          <w:rFonts w:ascii="Arial Narrow" w:hAnsi="Arial Narrow"/>
        </w:rPr>
      </w:pPr>
      <w:r w:rsidRPr="00344221">
        <w:rPr>
          <w:rFonts w:ascii="Arial Narrow" w:hAnsi="Arial Narrow"/>
        </w:rPr>
        <w:t>Para la mejora de los prestadores de servicios turísticos</w:t>
      </w:r>
      <w:r w:rsidR="000F2B9D" w:rsidRPr="00344221">
        <w:rPr>
          <w:rFonts w:ascii="Arial Narrow" w:hAnsi="Arial Narrow"/>
        </w:rPr>
        <w:t>, se capacitaron a más de 1000 prestadores de servicios turísticos respecto a la implementación de medidas preventivas ante el riesgo de contagio por COVID-19; asimismo, se gestionaron medidas económicas de apoyo al sector empresarial como medidas de reactivación del Sector Turismo a través del FAE Turismo otorgando a diciembre del año 2020 créditos por un monto total de S/ 47 970 173,00 que beneficiaron a 1112 mypes del sector (distribuidas en 21 regiones del país).</w:t>
      </w:r>
    </w:p>
    <w:p w14:paraId="0C251192" w14:textId="3A341C24" w:rsidR="0030285D" w:rsidRPr="00344221" w:rsidRDefault="0030285D" w:rsidP="007C1A0C">
      <w:pPr>
        <w:pBdr>
          <w:top w:val="nil"/>
          <w:left w:val="nil"/>
          <w:bottom w:val="nil"/>
          <w:right w:val="nil"/>
          <w:between w:val="nil"/>
        </w:pBdr>
        <w:spacing w:after="120" w:line="240" w:lineRule="auto"/>
        <w:ind w:left="426"/>
        <w:jc w:val="both"/>
        <w:rPr>
          <w:rFonts w:ascii="Arial Narrow" w:hAnsi="Arial Narrow"/>
        </w:rPr>
      </w:pPr>
      <w:r w:rsidRPr="00344221">
        <w:rPr>
          <w:rFonts w:ascii="Arial Narrow" w:hAnsi="Arial Narrow"/>
        </w:rPr>
        <w:t xml:space="preserve">En lo referido a la gestión ambiental turística, se </w:t>
      </w:r>
      <w:r w:rsidR="00AE4802" w:rsidRPr="00344221">
        <w:rPr>
          <w:rFonts w:ascii="Arial Narrow" w:hAnsi="Arial Narrow"/>
        </w:rPr>
        <w:t>brindó asistencia técnica a 219 funcionarios de los Gobiernos regionales y locales en materia de supervisión y fiscalización ambiental de los proyectos y actividades con fines turísticos, en el marco de las funciones transferidas a los gobiernos regionales; capacitación a 296 funcionarios en materia de buenas prácticas ambientales, manejo de residuos sólidos y gestión ambiental turística en marco de la reactivación del sector turismo</w:t>
      </w:r>
      <w:r w:rsidRPr="00344221">
        <w:rPr>
          <w:rFonts w:ascii="Arial Narrow" w:hAnsi="Arial Narrow"/>
        </w:rPr>
        <w:t>.</w:t>
      </w:r>
    </w:p>
    <w:p w14:paraId="5F07D444" w14:textId="613B3A6D" w:rsidR="00FD085D" w:rsidRPr="00344221" w:rsidRDefault="00412A7C" w:rsidP="00FD085D">
      <w:pPr>
        <w:pBdr>
          <w:top w:val="nil"/>
          <w:left w:val="nil"/>
          <w:bottom w:val="nil"/>
          <w:right w:val="nil"/>
          <w:between w:val="nil"/>
        </w:pBdr>
        <w:spacing w:after="120" w:line="240" w:lineRule="auto"/>
        <w:ind w:left="426"/>
        <w:jc w:val="both"/>
        <w:rPr>
          <w:rFonts w:ascii="Arial Narrow" w:hAnsi="Arial Narrow"/>
        </w:rPr>
      </w:pPr>
      <w:r w:rsidRPr="00344221">
        <w:rPr>
          <w:rFonts w:ascii="Arial Narrow" w:hAnsi="Arial Narrow"/>
        </w:rPr>
        <w:t>Del mismo modo, para el fortalecimiento del sector artesanal se gestionaron 3,934 inscripciones nuevas y 3,718 renovaciones (De todos estos trámites el 99% son de artesanos, 0.8% de Empresas de ar</w:t>
      </w:r>
      <w:r w:rsidR="00FD085D" w:rsidRPr="00344221">
        <w:rPr>
          <w:rFonts w:ascii="Arial Narrow" w:hAnsi="Arial Narrow"/>
        </w:rPr>
        <w:t>tesanía y 0.2% de Asociaciones); asimismo, se realizaron siete fechas del “Jueves del Diseño Artesanal” a través de plataforma digitales donde participaron 972 artesanos a nivel nacional</w:t>
      </w:r>
    </w:p>
    <w:p w14:paraId="40FCE679" w14:textId="07214F9B" w:rsidR="007C1A0C" w:rsidRPr="00344221" w:rsidRDefault="000F2B9D" w:rsidP="007C1A0C">
      <w:pPr>
        <w:pBdr>
          <w:top w:val="nil"/>
          <w:left w:val="nil"/>
          <w:bottom w:val="nil"/>
          <w:right w:val="nil"/>
          <w:between w:val="nil"/>
        </w:pBdr>
        <w:spacing w:after="120" w:line="240" w:lineRule="auto"/>
        <w:ind w:left="426"/>
        <w:jc w:val="both"/>
        <w:rPr>
          <w:rFonts w:ascii="Arial Narrow" w:hAnsi="Arial Narrow"/>
        </w:rPr>
      </w:pPr>
      <w:r w:rsidRPr="00344221">
        <w:rPr>
          <w:rFonts w:ascii="Arial Narrow" w:hAnsi="Arial Narrow"/>
        </w:rPr>
        <w:t>En</w:t>
      </w:r>
      <w:r w:rsidR="007C1A0C" w:rsidRPr="00344221">
        <w:rPr>
          <w:rFonts w:ascii="Arial Narrow" w:hAnsi="Arial Narrow"/>
        </w:rPr>
        <w:t xml:space="preserve"> cuanto a la generación y consolidación de capacidades institucionales para el Sector Turismo, se ha brindado capacitaciones a prestadores de servicios turísticos y funcionarios públicos, así como asistencia técnica para el fortalecimiento de la gestión en seguridad turística y desarrollo de planes en turismo.</w:t>
      </w:r>
    </w:p>
    <w:p w14:paraId="4FAD5435" w14:textId="5C44D98B" w:rsidR="007C1A0C" w:rsidRPr="00344221" w:rsidRDefault="007C1A0C" w:rsidP="007C1A0C">
      <w:pPr>
        <w:pBdr>
          <w:top w:val="nil"/>
          <w:left w:val="nil"/>
          <w:bottom w:val="nil"/>
          <w:right w:val="nil"/>
          <w:between w:val="nil"/>
        </w:pBdr>
        <w:spacing w:after="120" w:line="240" w:lineRule="auto"/>
        <w:ind w:left="426"/>
        <w:jc w:val="both"/>
        <w:rPr>
          <w:rFonts w:ascii="Arial Narrow" w:hAnsi="Arial Narrow"/>
        </w:rPr>
      </w:pPr>
      <w:r w:rsidRPr="00344221">
        <w:rPr>
          <w:rFonts w:ascii="Arial Narrow" w:hAnsi="Arial Narrow"/>
        </w:rPr>
        <w:t xml:space="preserve">En ese sentido, es preciso contar con destinos turísticos seguros y con servicios preparados para garantizar una experiencia segura al visitante y con una oferta acorde a la nueva normalidad. Entre los principales indicadores de la actividad turística nacional, se estiman proyecciones para obtener los siguientes resultados en materia de turismo hacia el año 2021: </w:t>
      </w:r>
    </w:p>
    <w:p w14:paraId="4784572F" w14:textId="77777777" w:rsidR="007C1A0C" w:rsidRPr="00344221" w:rsidRDefault="007C1A0C" w:rsidP="007C1A0C">
      <w:pPr>
        <w:pStyle w:val="Prrafodelista"/>
        <w:numPr>
          <w:ilvl w:val="0"/>
          <w:numId w:val="8"/>
        </w:numPr>
        <w:pBdr>
          <w:top w:val="nil"/>
          <w:left w:val="nil"/>
          <w:bottom w:val="nil"/>
          <w:right w:val="nil"/>
          <w:between w:val="nil"/>
        </w:pBdr>
        <w:spacing w:after="120" w:line="240" w:lineRule="auto"/>
        <w:jc w:val="both"/>
        <w:rPr>
          <w:rFonts w:ascii="Arial Narrow" w:hAnsi="Arial Narrow"/>
        </w:rPr>
      </w:pPr>
      <w:r w:rsidRPr="00344221">
        <w:rPr>
          <w:rFonts w:ascii="Arial Narrow" w:hAnsi="Arial Narrow"/>
        </w:rPr>
        <w:t>907 mil turistas internacionales arribarán al Perú (+ 1.2%).</w:t>
      </w:r>
    </w:p>
    <w:p w14:paraId="3B118F6D" w14:textId="77777777" w:rsidR="007C1A0C" w:rsidRPr="00344221" w:rsidRDefault="007C1A0C" w:rsidP="007C1A0C">
      <w:pPr>
        <w:pStyle w:val="Prrafodelista"/>
        <w:numPr>
          <w:ilvl w:val="0"/>
          <w:numId w:val="8"/>
        </w:numPr>
        <w:pBdr>
          <w:top w:val="nil"/>
          <w:left w:val="nil"/>
          <w:bottom w:val="nil"/>
          <w:right w:val="nil"/>
          <w:between w:val="nil"/>
        </w:pBdr>
        <w:spacing w:after="120" w:line="240" w:lineRule="auto"/>
        <w:jc w:val="both"/>
        <w:rPr>
          <w:rFonts w:ascii="Arial Narrow" w:hAnsi="Arial Narrow"/>
        </w:rPr>
      </w:pPr>
      <w:r w:rsidRPr="00344221">
        <w:rPr>
          <w:rFonts w:ascii="Arial Narrow" w:hAnsi="Arial Narrow"/>
        </w:rPr>
        <w:t>US$ 1 027 millones de divisas generadas por el turismo receptivo (+ 2.5%).</w:t>
      </w:r>
    </w:p>
    <w:p w14:paraId="2BB80AE9" w14:textId="77777777" w:rsidR="007C1A0C" w:rsidRPr="00344221" w:rsidRDefault="007C1A0C" w:rsidP="007C1A0C">
      <w:pPr>
        <w:pStyle w:val="Prrafodelista"/>
        <w:numPr>
          <w:ilvl w:val="0"/>
          <w:numId w:val="8"/>
        </w:numPr>
        <w:pBdr>
          <w:top w:val="nil"/>
          <w:left w:val="nil"/>
          <w:bottom w:val="nil"/>
          <w:right w:val="nil"/>
          <w:between w:val="nil"/>
        </w:pBdr>
        <w:spacing w:after="120" w:line="240" w:lineRule="auto"/>
        <w:jc w:val="both"/>
        <w:rPr>
          <w:rFonts w:ascii="Arial Narrow" w:hAnsi="Arial Narrow"/>
        </w:rPr>
      </w:pPr>
      <w:r w:rsidRPr="00344221">
        <w:rPr>
          <w:rFonts w:ascii="Arial Narrow" w:hAnsi="Arial Narrow"/>
        </w:rPr>
        <w:t>-17,1 millones de viajes por turismo interno (+ 18.9%).</w:t>
      </w:r>
    </w:p>
    <w:p w14:paraId="4E875CF8" w14:textId="77777777" w:rsidR="007C1A0C" w:rsidRPr="00344221" w:rsidRDefault="007C1A0C" w:rsidP="007C1A0C">
      <w:pPr>
        <w:pStyle w:val="Prrafodelista"/>
        <w:numPr>
          <w:ilvl w:val="0"/>
          <w:numId w:val="8"/>
        </w:numPr>
        <w:pBdr>
          <w:top w:val="nil"/>
          <w:left w:val="nil"/>
          <w:bottom w:val="nil"/>
          <w:right w:val="nil"/>
          <w:between w:val="nil"/>
        </w:pBdr>
        <w:spacing w:after="120" w:line="240" w:lineRule="auto"/>
        <w:jc w:val="both"/>
        <w:rPr>
          <w:rFonts w:ascii="Arial Narrow" w:hAnsi="Arial Narrow"/>
        </w:rPr>
      </w:pPr>
      <w:r w:rsidRPr="00344221">
        <w:rPr>
          <w:rFonts w:ascii="Arial Narrow" w:hAnsi="Arial Narrow"/>
        </w:rPr>
        <w:t>793 mil empleos turísticos (directos e indirectos) representando un incremento de 13.8%</w:t>
      </w:r>
    </w:p>
    <w:bookmarkEnd w:id="2"/>
    <w:p w14:paraId="3C16791F" w14:textId="06C1F8F6" w:rsidR="007C1A0C" w:rsidRPr="00344221" w:rsidRDefault="007C1A0C" w:rsidP="007C1A0C">
      <w:pPr>
        <w:pStyle w:val="Prrafodelista"/>
        <w:ind w:left="284"/>
        <w:rPr>
          <w:rFonts w:ascii="Arial Narrow" w:hAnsi="Arial Narrow" w:cstheme="minorHAnsi"/>
          <w:b/>
        </w:rPr>
      </w:pPr>
    </w:p>
    <w:p w14:paraId="5A78BAF9" w14:textId="64A9D8D8" w:rsidR="002169B8" w:rsidRPr="00344221" w:rsidRDefault="002169B8" w:rsidP="007C1A0C">
      <w:pPr>
        <w:pStyle w:val="Prrafodelista"/>
        <w:ind w:left="284"/>
        <w:rPr>
          <w:rFonts w:ascii="Arial Narrow" w:hAnsi="Arial Narrow" w:cstheme="minorHAnsi"/>
          <w:b/>
        </w:rPr>
      </w:pPr>
    </w:p>
    <w:p w14:paraId="62F0B002" w14:textId="77777777" w:rsidR="002169B8" w:rsidRPr="00344221" w:rsidRDefault="002169B8" w:rsidP="007C1A0C">
      <w:pPr>
        <w:pStyle w:val="Prrafodelista"/>
        <w:ind w:left="284"/>
        <w:rPr>
          <w:rFonts w:ascii="Arial Narrow" w:hAnsi="Arial Narrow" w:cstheme="minorHAnsi"/>
          <w:b/>
        </w:rPr>
      </w:pPr>
    </w:p>
    <w:p w14:paraId="74EBA043" w14:textId="0F304F60" w:rsidR="004507EA" w:rsidRPr="004C52FE" w:rsidRDefault="004507EA" w:rsidP="004507EA">
      <w:pPr>
        <w:pStyle w:val="Prrafodelista"/>
        <w:numPr>
          <w:ilvl w:val="0"/>
          <w:numId w:val="5"/>
        </w:numPr>
        <w:ind w:left="284" w:hanging="218"/>
        <w:rPr>
          <w:rFonts w:ascii="Arial Narrow" w:hAnsi="Arial Narrow" w:cstheme="minorHAnsi"/>
          <w:b/>
        </w:rPr>
      </w:pPr>
      <w:r w:rsidRPr="004C52FE">
        <w:rPr>
          <w:rFonts w:ascii="Arial Narrow" w:hAnsi="Arial Narrow" w:cstheme="minorHAnsi"/>
          <w:b/>
        </w:rPr>
        <w:t>Alternativas para mejorar el cumplimiento e implementación de la política nacional</w:t>
      </w:r>
      <w:r w:rsidR="00186F80" w:rsidRPr="004C52FE">
        <w:rPr>
          <w:rFonts w:ascii="Arial Narrow" w:hAnsi="Arial Narrow" w:cstheme="minorHAnsi"/>
          <w:b/>
        </w:rPr>
        <w:t xml:space="preserve"> </w:t>
      </w:r>
    </w:p>
    <w:p w14:paraId="0641D13C" w14:textId="77777777" w:rsidR="00090AEF" w:rsidRPr="00344221" w:rsidRDefault="002877DF" w:rsidP="008C68A8">
      <w:pPr>
        <w:ind w:left="284"/>
        <w:jc w:val="both"/>
        <w:rPr>
          <w:rFonts w:ascii="Arial Narrow" w:hAnsi="Arial Narrow"/>
        </w:rPr>
      </w:pPr>
      <w:r w:rsidRPr="00344221">
        <w:rPr>
          <w:rFonts w:ascii="Arial Narrow" w:hAnsi="Arial Narrow"/>
        </w:rPr>
        <w:t xml:space="preserve">Se espera lograr </w:t>
      </w:r>
      <w:r w:rsidR="00090AEF" w:rsidRPr="00344221">
        <w:rPr>
          <w:rFonts w:ascii="Arial Narrow" w:hAnsi="Arial Narrow"/>
        </w:rPr>
        <w:t xml:space="preserve">la recuperación social y económica del Sector Turismo ante los efectos ocasionados por la propagación de la COVID-19 en el mundo a través de la </w:t>
      </w:r>
      <w:r w:rsidRPr="00344221">
        <w:rPr>
          <w:rFonts w:ascii="Arial Narrow" w:hAnsi="Arial Narrow"/>
        </w:rPr>
        <w:t>prioriza</w:t>
      </w:r>
      <w:r w:rsidR="00090AEF" w:rsidRPr="00344221">
        <w:rPr>
          <w:rFonts w:ascii="Arial Narrow" w:hAnsi="Arial Narrow"/>
        </w:rPr>
        <w:t xml:space="preserve">ción de medidas inmediatas con </w:t>
      </w:r>
      <w:r w:rsidR="00090AEF" w:rsidRPr="00344221">
        <w:rPr>
          <w:rFonts w:ascii="Arial Narrow" w:hAnsi="Arial Narrow"/>
        </w:rPr>
        <w:lastRenderedPageBreak/>
        <w:t>el objetivo de fortalecer la oferta turística en materia de gestión, infraestructura y seguridad sanitaria, así como la recuperación económica y promoción de los destinos turísticos a nivel nacional, lo que permitirá implementar estrategias que aborden a los diferentes actores del sector a nivel nacional, regional y local.</w:t>
      </w:r>
      <w:r w:rsidRPr="00344221">
        <w:rPr>
          <w:rFonts w:ascii="Arial Narrow" w:hAnsi="Arial Narrow"/>
        </w:rPr>
        <w:t xml:space="preserve"> </w:t>
      </w:r>
    </w:p>
    <w:p w14:paraId="1C97B355" w14:textId="64959F88" w:rsidR="00CE0FD8" w:rsidRPr="00344221" w:rsidRDefault="002877DF" w:rsidP="00090AEF">
      <w:pPr>
        <w:ind w:left="284"/>
        <w:jc w:val="both"/>
        <w:rPr>
          <w:rFonts w:ascii="Arial Narrow" w:hAnsi="Arial Narrow"/>
        </w:rPr>
      </w:pPr>
      <w:r w:rsidRPr="00344221">
        <w:rPr>
          <w:rFonts w:ascii="Arial Narrow" w:hAnsi="Arial Narrow"/>
        </w:rPr>
        <w:t xml:space="preserve">En ese sentido, a fin de cumplir con el objetivo </w:t>
      </w:r>
      <w:r w:rsidR="00CE0FD8" w:rsidRPr="00344221">
        <w:rPr>
          <w:rFonts w:ascii="Arial Narrow" w:hAnsi="Arial Narrow"/>
        </w:rPr>
        <w:t>prioritario del Sector Turismo</w:t>
      </w:r>
      <w:r w:rsidRPr="00344221">
        <w:rPr>
          <w:rFonts w:ascii="Arial Narrow" w:hAnsi="Arial Narrow"/>
        </w:rPr>
        <w:t xml:space="preserve"> será necesario </w:t>
      </w:r>
      <w:r w:rsidR="00CE0FD8" w:rsidRPr="00344221">
        <w:rPr>
          <w:rFonts w:ascii="Arial Narrow" w:hAnsi="Arial Narrow"/>
        </w:rPr>
        <w:t xml:space="preserve">la aplicación </w:t>
      </w:r>
      <w:r w:rsidRPr="00344221">
        <w:rPr>
          <w:rFonts w:ascii="Arial Narrow" w:hAnsi="Arial Narrow"/>
        </w:rPr>
        <w:t xml:space="preserve">de </w:t>
      </w:r>
      <w:r w:rsidR="00090AEF" w:rsidRPr="00344221">
        <w:rPr>
          <w:rFonts w:ascii="Arial Narrow" w:hAnsi="Arial Narrow"/>
        </w:rPr>
        <w:t>la Ley N.° 31103, Ley que declara de interés nacional la r</w:t>
      </w:r>
      <w:r w:rsidR="004A740F" w:rsidRPr="00344221">
        <w:rPr>
          <w:rFonts w:ascii="Arial Narrow" w:hAnsi="Arial Narrow"/>
        </w:rPr>
        <w:t xml:space="preserve">eactivación del sector turismo; al respecto, el </w:t>
      </w:r>
      <w:r w:rsidR="00090AEF" w:rsidRPr="00344221">
        <w:rPr>
          <w:rFonts w:ascii="Arial Narrow" w:hAnsi="Arial Narrow"/>
        </w:rPr>
        <w:t xml:space="preserve">MINCETUR en coordinación con otras entidades y organismos del sector </w:t>
      </w:r>
      <w:r w:rsidR="004A740F" w:rsidRPr="00344221">
        <w:rPr>
          <w:rFonts w:ascii="Arial Narrow" w:hAnsi="Arial Narrow"/>
        </w:rPr>
        <w:t xml:space="preserve">y en cumplimiento a lo señalado en dicha norma </w:t>
      </w:r>
      <w:r w:rsidR="00090AEF" w:rsidRPr="00344221">
        <w:rPr>
          <w:rFonts w:ascii="Arial Narrow" w:hAnsi="Arial Narrow"/>
        </w:rPr>
        <w:t>viene realizando la implementación de la Estrategia Nacional de Reactivación del Sector Turismo</w:t>
      </w:r>
      <w:r w:rsidR="00CE0FD8" w:rsidRPr="00344221">
        <w:rPr>
          <w:rFonts w:ascii="Arial Narrow" w:hAnsi="Arial Narrow"/>
        </w:rPr>
        <w:t xml:space="preserve"> aprobada mediante Resolución Viceministerial N° 0004- 2021-MINCETUR/VMT</w:t>
      </w:r>
      <w:r w:rsidR="00EA2EBD" w:rsidRPr="00344221">
        <w:rPr>
          <w:rFonts w:ascii="Arial Narrow" w:hAnsi="Arial Narrow"/>
        </w:rPr>
        <w:t xml:space="preserve"> de fecha 26 de marzo 2021</w:t>
      </w:r>
      <w:r w:rsidR="00090AEF" w:rsidRPr="00344221">
        <w:rPr>
          <w:rFonts w:ascii="Arial Narrow" w:hAnsi="Arial Narrow"/>
        </w:rPr>
        <w:t>, la cual incluye acciones para la reactivación económica</w:t>
      </w:r>
      <w:r w:rsidR="00CE0FD8" w:rsidRPr="00344221">
        <w:rPr>
          <w:rFonts w:ascii="Arial Narrow" w:hAnsi="Arial Narrow"/>
        </w:rPr>
        <w:t xml:space="preserve"> de</w:t>
      </w:r>
      <w:r w:rsidR="00090AEF" w:rsidRPr="00344221">
        <w:rPr>
          <w:rFonts w:ascii="Arial Narrow" w:hAnsi="Arial Narrow"/>
        </w:rPr>
        <w:t xml:space="preserve"> la actividad turística </w:t>
      </w:r>
      <w:r w:rsidR="00CE0FD8" w:rsidRPr="00344221">
        <w:rPr>
          <w:rFonts w:ascii="Arial Narrow" w:hAnsi="Arial Narrow"/>
        </w:rPr>
        <w:t>a través del logro de los siguientes objetivos:</w:t>
      </w:r>
    </w:p>
    <w:p w14:paraId="756003EB" w14:textId="77777777" w:rsidR="00CE0FD8" w:rsidRPr="00344221" w:rsidRDefault="00CE0FD8" w:rsidP="00CE0FD8">
      <w:pPr>
        <w:pStyle w:val="Prrafodelista"/>
        <w:numPr>
          <w:ilvl w:val="0"/>
          <w:numId w:val="8"/>
        </w:numPr>
        <w:pBdr>
          <w:top w:val="nil"/>
          <w:left w:val="nil"/>
          <w:bottom w:val="nil"/>
          <w:right w:val="nil"/>
          <w:between w:val="nil"/>
        </w:pBdr>
        <w:spacing w:after="120" w:line="240" w:lineRule="auto"/>
        <w:jc w:val="both"/>
        <w:rPr>
          <w:rFonts w:ascii="Arial Narrow" w:hAnsi="Arial Narrow"/>
        </w:rPr>
      </w:pPr>
      <w:r w:rsidRPr="00344221">
        <w:rPr>
          <w:rFonts w:ascii="Arial Narrow" w:hAnsi="Arial Narrow"/>
        </w:rPr>
        <w:t xml:space="preserve">Desarrollar y consolidar una oferta de destinos sostenibles. </w:t>
      </w:r>
    </w:p>
    <w:p w14:paraId="69B542CE" w14:textId="77777777" w:rsidR="00CE0FD8" w:rsidRPr="00344221" w:rsidRDefault="00CE0FD8" w:rsidP="00CE0FD8">
      <w:pPr>
        <w:pStyle w:val="Prrafodelista"/>
        <w:numPr>
          <w:ilvl w:val="0"/>
          <w:numId w:val="8"/>
        </w:numPr>
        <w:pBdr>
          <w:top w:val="nil"/>
          <w:left w:val="nil"/>
          <w:bottom w:val="nil"/>
          <w:right w:val="nil"/>
          <w:between w:val="nil"/>
        </w:pBdr>
        <w:spacing w:after="120" w:line="240" w:lineRule="auto"/>
        <w:jc w:val="both"/>
        <w:rPr>
          <w:rFonts w:ascii="Arial Narrow" w:hAnsi="Arial Narrow"/>
        </w:rPr>
      </w:pPr>
      <w:r w:rsidRPr="00344221">
        <w:rPr>
          <w:rFonts w:ascii="Arial Narrow" w:hAnsi="Arial Narrow"/>
        </w:rPr>
        <w:t xml:space="preserve">Posicionar al Perú como un destino con productos turísticos de primer nivel y seguros. </w:t>
      </w:r>
    </w:p>
    <w:p w14:paraId="0ABBE264" w14:textId="69D0C5DB" w:rsidR="002877DF" w:rsidRPr="00344221" w:rsidRDefault="00CE0FD8" w:rsidP="00CE0FD8">
      <w:pPr>
        <w:pStyle w:val="Prrafodelista"/>
        <w:numPr>
          <w:ilvl w:val="0"/>
          <w:numId w:val="8"/>
        </w:numPr>
        <w:pBdr>
          <w:top w:val="nil"/>
          <w:left w:val="nil"/>
          <w:bottom w:val="nil"/>
          <w:right w:val="nil"/>
          <w:between w:val="nil"/>
        </w:pBdr>
        <w:spacing w:after="120" w:line="240" w:lineRule="auto"/>
        <w:jc w:val="both"/>
        <w:rPr>
          <w:rFonts w:ascii="Arial Narrow" w:hAnsi="Arial Narrow"/>
        </w:rPr>
      </w:pPr>
      <w:r w:rsidRPr="00344221">
        <w:rPr>
          <w:rFonts w:ascii="Arial Narrow" w:hAnsi="Arial Narrow"/>
        </w:rPr>
        <w:t>Mejorar la competitividad del sector, fortaleciendo su institucionalidad y articulación público - privada.</w:t>
      </w:r>
    </w:p>
    <w:sectPr w:rsidR="002877DF" w:rsidRPr="00344221" w:rsidSect="00A202C1">
      <w:headerReference w:type="first" r:id="rId8"/>
      <w:footerReference w:type="first" r:id="rId9"/>
      <w:pgSz w:w="11906" w:h="16838"/>
      <w:pgMar w:top="1560" w:right="1701" w:bottom="1417" w:left="1701" w:header="708" w:footer="70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F050D" w14:textId="77777777" w:rsidR="000B0512" w:rsidRDefault="000B0512" w:rsidP="0027482E">
      <w:pPr>
        <w:spacing w:after="0" w:line="240" w:lineRule="auto"/>
      </w:pPr>
      <w:r>
        <w:separator/>
      </w:r>
    </w:p>
  </w:endnote>
  <w:endnote w:type="continuationSeparator" w:id="0">
    <w:p w14:paraId="75637428" w14:textId="77777777" w:rsidR="000B0512" w:rsidRDefault="000B0512" w:rsidP="00274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692329"/>
      <w:docPartObj>
        <w:docPartGallery w:val="Page Numbers (Bottom of Page)"/>
        <w:docPartUnique/>
      </w:docPartObj>
    </w:sdtPr>
    <w:sdtEndPr/>
    <w:sdtContent>
      <w:p w14:paraId="4867B191" w14:textId="201642D6" w:rsidR="000C1428" w:rsidRDefault="000C1428">
        <w:pPr>
          <w:pStyle w:val="Piedepgina"/>
          <w:jc w:val="right"/>
        </w:pPr>
        <w:r>
          <w:fldChar w:fldCharType="begin"/>
        </w:r>
        <w:r>
          <w:instrText>PAGE   \* MERGEFORMAT</w:instrText>
        </w:r>
        <w:r>
          <w:fldChar w:fldCharType="separate"/>
        </w:r>
        <w:r w:rsidR="00690A1E" w:rsidRPr="00690A1E">
          <w:rPr>
            <w:noProof/>
            <w:lang w:val="es-ES"/>
          </w:rPr>
          <w:t>1</w:t>
        </w:r>
        <w:r>
          <w:fldChar w:fldCharType="end"/>
        </w:r>
      </w:p>
    </w:sdtContent>
  </w:sdt>
  <w:p w14:paraId="6249DCA0" w14:textId="77777777" w:rsidR="000C1428" w:rsidRDefault="000C14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5CE67" w14:textId="77777777" w:rsidR="000B0512" w:rsidRDefault="000B0512" w:rsidP="0027482E">
      <w:pPr>
        <w:spacing w:after="0" w:line="240" w:lineRule="auto"/>
      </w:pPr>
      <w:r>
        <w:separator/>
      </w:r>
    </w:p>
  </w:footnote>
  <w:footnote w:type="continuationSeparator" w:id="0">
    <w:p w14:paraId="117FBA76" w14:textId="77777777" w:rsidR="000B0512" w:rsidRDefault="000B0512" w:rsidP="0027482E">
      <w:pPr>
        <w:spacing w:after="0" w:line="240" w:lineRule="auto"/>
      </w:pPr>
      <w:r>
        <w:continuationSeparator/>
      </w:r>
    </w:p>
  </w:footnote>
  <w:footnote w:id="1">
    <w:p w14:paraId="1AFD418D" w14:textId="77777777" w:rsidR="000C1428" w:rsidRDefault="000C1428" w:rsidP="006C3716">
      <w:pPr>
        <w:pStyle w:val="Textonotapie"/>
      </w:pPr>
      <w:r>
        <w:rPr>
          <w:rStyle w:val="Refdenotaalpie"/>
          <w:rFonts w:ascii="Arial" w:hAnsi="Arial" w:cs="Arial"/>
          <w:sz w:val="16"/>
          <w:szCs w:val="16"/>
        </w:rPr>
        <w:footnoteRef/>
      </w:r>
      <w:r>
        <w:rPr>
          <w:rFonts w:ascii="Arial" w:hAnsi="Arial" w:cs="Arial"/>
          <w:sz w:val="16"/>
          <w:szCs w:val="16"/>
        </w:rPr>
        <w:t xml:space="preserve"> Según consulta realizada en el Sistema de Seguimiento de Inversiones – SSI del MEF de fecha 30.03.2021.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F2215" w14:textId="74F5275A" w:rsidR="000C1428" w:rsidRDefault="000C1428">
    <w:pPr>
      <w:pStyle w:val="Encabezado"/>
    </w:pPr>
    <w:r>
      <w:rPr>
        <w:noProof/>
      </w:rPr>
      <w:t>MINCETUR</w:t>
    </w:r>
    <w:r w:rsidRPr="00507619">
      <w:rPr>
        <w:noProof/>
      </w:rPr>
      <w:drawing>
        <wp:anchor distT="0" distB="0" distL="114300" distR="114300" simplePos="0" relativeHeight="251659264" behindDoc="0" locked="0" layoutInCell="1" allowOverlap="1" wp14:anchorId="7199972E" wp14:editId="25CB66FF">
          <wp:simplePos x="0" y="0"/>
          <wp:positionH relativeFrom="margin">
            <wp:posOffset>4667250</wp:posOffset>
          </wp:positionH>
          <wp:positionV relativeFrom="paragraph">
            <wp:posOffset>-235585</wp:posOffset>
          </wp:positionV>
          <wp:extent cx="1080000" cy="450528"/>
          <wp:effectExtent l="0" t="0" r="0" b="6985"/>
          <wp:wrapSquare wrapText="bothSides"/>
          <wp:docPr id="2" name="Picture 44">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9A0FC65F-7936-48B7-83E9-7564FF0128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4">
                    <a:extLst>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9A0FC65F-7936-48B7-83E9-7564FF0128B7}"/>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1515" t="28194" r="17092" b="26330"/>
                  <a:stretch/>
                </pic:blipFill>
                <pic:spPr>
                  <a:xfrm>
                    <a:off x="0" y="0"/>
                    <a:ext cx="1080000" cy="4505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2E18"/>
    <w:multiLevelType w:val="multilevel"/>
    <w:tmpl w:val="2B9C8E68"/>
    <w:lvl w:ilvl="0">
      <w:start w:val="4"/>
      <w:numFmt w:val="decimal"/>
      <w:lvlText w:val="%1"/>
      <w:lvlJc w:val="left"/>
      <w:pPr>
        <w:ind w:left="526" w:hanging="430"/>
      </w:pPr>
      <w:rPr>
        <w:rFonts w:hint="default"/>
        <w:lang w:val="es-ES" w:eastAsia="en-US" w:bidi="ar-SA"/>
      </w:rPr>
    </w:lvl>
    <w:lvl w:ilvl="1">
      <w:start w:val="5"/>
      <w:numFmt w:val="decimal"/>
      <w:lvlText w:val="%1.%2"/>
      <w:lvlJc w:val="left"/>
      <w:pPr>
        <w:ind w:left="526" w:hanging="430"/>
      </w:pPr>
      <w:rPr>
        <w:rFonts w:ascii="Arial" w:eastAsia="Arial" w:hAnsi="Arial" w:cs="Arial" w:hint="default"/>
        <w:i/>
        <w:w w:val="100"/>
        <w:sz w:val="22"/>
        <w:szCs w:val="22"/>
        <w:lang w:val="es-ES" w:eastAsia="en-US" w:bidi="ar-SA"/>
      </w:rPr>
    </w:lvl>
    <w:lvl w:ilvl="2">
      <w:numFmt w:val="bullet"/>
      <w:lvlText w:val="-"/>
      <w:lvlJc w:val="left"/>
      <w:pPr>
        <w:ind w:left="723" w:hanging="137"/>
      </w:pPr>
      <w:rPr>
        <w:rFonts w:ascii="Arial" w:eastAsia="Arial" w:hAnsi="Arial" w:cs="Arial" w:hint="default"/>
        <w:w w:val="100"/>
        <w:sz w:val="22"/>
        <w:szCs w:val="22"/>
        <w:lang w:val="es-ES" w:eastAsia="en-US" w:bidi="ar-SA"/>
      </w:rPr>
    </w:lvl>
    <w:lvl w:ilvl="3">
      <w:numFmt w:val="bullet"/>
      <w:lvlText w:val="•"/>
      <w:lvlJc w:val="left"/>
      <w:pPr>
        <w:ind w:left="2190" w:hanging="137"/>
      </w:pPr>
      <w:rPr>
        <w:rFonts w:hint="default"/>
        <w:lang w:val="es-ES" w:eastAsia="en-US" w:bidi="ar-SA"/>
      </w:rPr>
    </w:lvl>
    <w:lvl w:ilvl="4">
      <w:numFmt w:val="bullet"/>
      <w:lvlText w:val="•"/>
      <w:lvlJc w:val="left"/>
      <w:pPr>
        <w:ind w:left="2926" w:hanging="137"/>
      </w:pPr>
      <w:rPr>
        <w:rFonts w:hint="default"/>
        <w:lang w:val="es-ES" w:eastAsia="en-US" w:bidi="ar-SA"/>
      </w:rPr>
    </w:lvl>
    <w:lvl w:ilvl="5">
      <w:numFmt w:val="bullet"/>
      <w:lvlText w:val="•"/>
      <w:lvlJc w:val="left"/>
      <w:pPr>
        <w:ind w:left="3661" w:hanging="137"/>
      </w:pPr>
      <w:rPr>
        <w:rFonts w:hint="default"/>
        <w:lang w:val="es-ES" w:eastAsia="en-US" w:bidi="ar-SA"/>
      </w:rPr>
    </w:lvl>
    <w:lvl w:ilvl="6">
      <w:numFmt w:val="bullet"/>
      <w:lvlText w:val="•"/>
      <w:lvlJc w:val="left"/>
      <w:pPr>
        <w:ind w:left="4397" w:hanging="137"/>
      </w:pPr>
      <w:rPr>
        <w:rFonts w:hint="default"/>
        <w:lang w:val="es-ES" w:eastAsia="en-US" w:bidi="ar-SA"/>
      </w:rPr>
    </w:lvl>
    <w:lvl w:ilvl="7">
      <w:numFmt w:val="bullet"/>
      <w:lvlText w:val="•"/>
      <w:lvlJc w:val="left"/>
      <w:pPr>
        <w:ind w:left="5132" w:hanging="137"/>
      </w:pPr>
      <w:rPr>
        <w:rFonts w:hint="default"/>
        <w:lang w:val="es-ES" w:eastAsia="en-US" w:bidi="ar-SA"/>
      </w:rPr>
    </w:lvl>
    <w:lvl w:ilvl="8">
      <w:numFmt w:val="bullet"/>
      <w:lvlText w:val="•"/>
      <w:lvlJc w:val="left"/>
      <w:pPr>
        <w:ind w:left="5868" w:hanging="137"/>
      </w:pPr>
      <w:rPr>
        <w:rFonts w:hint="default"/>
        <w:lang w:val="es-ES" w:eastAsia="en-US" w:bidi="ar-SA"/>
      </w:rPr>
    </w:lvl>
  </w:abstractNum>
  <w:abstractNum w:abstractNumId="1" w15:restartNumberingAfterBreak="0">
    <w:nsid w:val="05681E46"/>
    <w:multiLevelType w:val="hybridMultilevel"/>
    <w:tmpl w:val="D7FEEB1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9CD304E"/>
    <w:multiLevelType w:val="hybridMultilevel"/>
    <w:tmpl w:val="A13AB45C"/>
    <w:lvl w:ilvl="0" w:tplc="E17847F8">
      <w:start w:val="1"/>
      <w:numFmt w:val="upperRoman"/>
      <w:lvlText w:val="%1."/>
      <w:lvlJc w:val="left"/>
      <w:pPr>
        <w:ind w:left="1080" w:hanging="720"/>
      </w:pPr>
      <w:rPr>
        <w:rFonts w:hint="default"/>
        <w:color w:val="2F5496" w:themeColor="accent1" w:themeShade="BF"/>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4484BB9"/>
    <w:multiLevelType w:val="hybridMultilevel"/>
    <w:tmpl w:val="B13CCB3E"/>
    <w:lvl w:ilvl="0" w:tplc="82C2D1AE">
      <w:start w:val="1"/>
      <w:numFmt w:val="upperRoman"/>
      <w:lvlText w:val="%1."/>
      <w:lvlJc w:val="left"/>
      <w:pPr>
        <w:ind w:left="1080" w:hanging="720"/>
      </w:pPr>
      <w:rPr>
        <w:rFonts w:hint="default"/>
        <w:color w:val="2F5496" w:themeColor="accent1" w:themeShade="BF"/>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9714938"/>
    <w:multiLevelType w:val="hybridMultilevel"/>
    <w:tmpl w:val="BD10AD7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41150C80"/>
    <w:multiLevelType w:val="hybridMultilevel"/>
    <w:tmpl w:val="546ACC6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4C7F7049"/>
    <w:multiLevelType w:val="hybridMultilevel"/>
    <w:tmpl w:val="E4E003BE"/>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4F3B49DF"/>
    <w:multiLevelType w:val="hybridMultilevel"/>
    <w:tmpl w:val="DE4E0DA2"/>
    <w:lvl w:ilvl="0" w:tplc="6068EEE4">
      <w:start w:val="1"/>
      <w:numFmt w:val="upperLetter"/>
      <w:lvlText w:val="%1."/>
      <w:lvlJc w:val="left"/>
      <w:pPr>
        <w:ind w:left="720" w:hanging="360"/>
      </w:pPr>
      <w:rPr>
        <w:rFonts w:hint="default"/>
        <w:color w:val="2F5496" w:themeColor="accent1" w:themeShade="BF"/>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58CE12EA"/>
    <w:multiLevelType w:val="hybridMultilevel"/>
    <w:tmpl w:val="81AAC3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C263090"/>
    <w:multiLevelType w:val="multilevel"/>
    <w:tmpl w:val="25267E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color w:val="7B7B7B" w:themeColor="accent3" w:themeShade="BF"/>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2"/>
  </w:num>
  <w:num w:numId="3">
    <w:abstractNumId w:val="3"/>
  </w:num>
  <w:num w:numId="4">
    <w:abstractNumId w:val="7"/>
  </w:num>
  <w:num w:numId="5">
    <w:abstractNumId w:val="4"/>
  </w:num>
  <w:num w:numId="6">
    <w:abstractNumId w:val="8"/>
  </w:num>
  <w:num w:numId="7">
    <w:abstractNumId w:val="6"/>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0F7"/>
    <w:rsid w:val="00090AEF"/>
    <w:rsid w:val="000B0512"/>
    <w:rsid w:val="000C1428"/>
    <w:rsid w:val="000C4719"/>
    <w:rsid w:val="000F2B9D"/>
    <w:rsid w:val="00166F82"/>
    <w:rsid w:val="0018407B"/>
    <w:rsid w:val="00186F80"/>
    <w:rsid w:val="00193F48"/>
    <w:rsid w:val="001B1E9D"/>
    <w:rsid w:val="001C5D35"/>
    <w:rsid w:val="001D536F"/>
    <w:rsid w:val="00204371"/>
    <w:rsid w:val="002169B8"/>
    <w:rsid w:val="002745FA"/>
    <w:rsid w:val="0027482E"/>
    <w:rsid w:val="002877DF"/>
    <w:rsid w:val="002F3799"/>
    <w:rsid w:val="0030285D"/>
    <w:rsid w:val="00344221"/>
    <w:rsid w:val="00365288"/>
    <w:rsid w:val="00407528"/>
    <w:rsid w:val="00412A7C"/>
    <w:rsid w:val="00436B03"/>
    <w:rsid w:val="004507EA"/>
    <w:rsid w:val="004A740F"/>
    <w:rsid w:val="004C52FE"/>
    <w:rsid w:val="004F5A58"/>
    <w:rsid w:val="005A573A"/>
    <w:rsid w:val="005B0085"/>
    <w:rsid w:val="005F37AD"/>
    <w:rsid w:val="00652776"/>
    <w:rsid w:val="00690A1E"/>
    <w:rsid w:val="006A4741"/>
    <w:rsid w:val="006C3716"/>
    <w:rsid w:val="006C4818"/>
    <w:rsid w:val="007014D3"/>
    <w:rsid w:val="00732F5E"/>
    <w:rsid w:val="00764E18"/>
    <w:rsid w:val="00780715"/>
    <w:rsid w:val="007A09E4"/>
    <w:rsid w:val="007C1A0C"/>
    <w:rsid w:val="007F1A56"/>
    <w:rsid w:val="00861EB8"/>
    <w:rsid w:val="00882F42"/>
    <w:rsid w:val="0089448E"/>
    <w:rsid w:val="008B3CA2"/>
    <w:rsid w:val="008B724C"/>
    <w:rsid w:val="008C68A8"/>
    <w:rsid w:val="008C68FA"/>
    <w:rsid w:val="00904742"/>
    <w:rsid w:val="009141B1"/>
    <w:rsid w:val="009731A7"/>
    <w:rsid w:val="00975765"/>
    <w:rsid w:val="009A30D5"/>
    <w:rsid w:val="00A202C1"/>
    <w:rsid w:val="00A2766C"/>
    <w:rsid w:val="00A33CFB"/>
    <w:rsid w:val="00AB65E0"/>
    <w:rsid w:val="00AE4802"/>
    <w:rsid w:val="00B42F53"/>
    <w:rsid w:val="00B50111"/>
    <w:rsid w:val="00BC2CE7"/>
    <w:rsid w:val="00C1054C"/>
    <w:rsid w:val="00C53DD4"/>
    <w:rsid w:val="00C713CE"/>
    <w:rsid w:val="00CA2A2C"/>
    <w:rsid w:val="00CB609B"/>
    <w:rsid w:val="00CE0FD8"/>
    <w:rsid w:val="00CF7F64"/>
    <w:rsid w:val="00D6064D"/>
    <w:rsid w:val="00D7623E"/>
    <w:rsid w:val="00D921BF"/>
    <w:rsid w:val="00D928E2"/>
    <w:rsid w:val="00DC1B81"/>
    <w:rsid w:val="00DD6AA9"/>
    <w:rsid w:val="00E0643F"/>
    <w:rsid w:val="00E16768"/>
    <w:rsid w:val="00E450F7"/>
    <w:rsid w:val="00EA2EBD"/>
    <w:rsid w:val="00EB3D86"/>
    <w:rsid w:val="00EE21D2"/>
    <w:rsid w:val="00EF5697"/>
    <w:rsid w:val="00F60C72"/>
    <w:rsid w:val="00F746C9"/>
    <w:rsid w:val="00FC0CA2"/>
    <w:rsid w:val="00FD085D"/>
    <w:rsid w:val="00FD29BA"/>
  </w:rsids>
  <m:mathPr>
    <m:mathFont m:val="Cambria Math"/>
    <m:brkBin m:val="before"/>
    <m:brkBinSub m:val="--"/>
    <m:smallFrac m:val="0"/>
    <m:dispDef/>
    <m:lMargin m:val="0"/>
    <m:rMargin m:val="0"/>
    <m:defJc m:val="centerGroup"/>
    <m:wrapIndent m:val="1440"/>
    <m:intLim m:val="subSup"/>
    <m:naryLim m:val="undOvr"/>
  </m:mathPr>
  <w:themeFontLang w:val="es-P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F1765"/>
  <w15:chartTrackingRefBased/>
  <w15:docId w15:val="{4AAA5743-C352-433F-8EB2-05DA9517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0F7"/>
    <w:rPr>
      <w:rFonts w:eastAsiaTheme="minorEastAsia"/>
      <w:lang w:eastAsia="es-PE"/>
    </w:rPr>
  </w:style>
  <w:style w:type="paragraph" w:styleId="Ttulo1">
    <w:name w:val="heading 1"/>
    <w:basedOn w:val="Normal"/>
    <w:link w:val="Ttulo1Car"/>
    <w:uiPriority w:val="9"/>
    <w:qFormat/>
    <w:rsid w:val="00D6064D"/>
    <w:pPr>
      <w:widowControl w:val="0"/>
      <w:autoSpaceDE w:val="0"/>
      <w:autoSpaceDN w:val="0"/>
      <w:spacing w:before="75" w:after="0" w:line="240" w:lineRule="auto"/>
      <w:ind w:left="536" w:hanging="285"/>
      <w:outlineLvl w:val="0"/>
    </w:pPr>
    <w:rPr>
      <w:rFonts w:ascii="Arial" w:eastAsia="Arial" w:hAnsi="Arial" w:cs="Arial"/>
      <w:b/>
      <w:bCs/>
      <w:sz w:val="24"/>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ed List,Fundamentacion,Cita Pie de Página,titulo,Iz - Párrafo de lista,Sivsa Parrafo,Titulo de Fígura,Párrafo Normal,Lista 123,Lista vistosa - Énfasis 11,titulo 5,MAPA,Viñeta,TITULO A,Cuadro 2-1,paul2,SubPárrafo de lista,Footnote"/>
    <w:basedOn w:val="Normal"/>
    <w:link w:val="PrrafodelistaCar"/>
    <w:uiPriority w:val="34"/>
    <w:qFormat/>
    <w:rsid w:val="00E450F7"/>
    <w:pPr>
      <w:ind w:left="720"/>
      <w:contextualSpacing/>
    </w:pPr>
  </w:style>
  <w:style w:type="character" w:customStyle="1" w:styleId="PrrafodelistaCar">
    <w:name w:val="Párrafo de lista Car"/>
    <w:aliases w:val="Bulleted List Car,Fundamentacion Car,Cita Pie de Página Car,titulo Car,Iz - Párrafo de lista Car,Sivsa Parrafo Car,Titulo de Fígura Car,Párrafo Normal Car,Lista 123 Car,Lista vistosa - Énfasis 11 Car,titulo 5 Car,MAPA Car,Viñeta Car"/>
    <w:basedOn w:val="Fuentedeprrafopredeter"/>
    <w:link w:val="Prrafodelista"/>
    <w:uiPriority w:val="34"/>
    <w:locked/>
    <w:rsid w:val="00E450F7"/>
    <w:rPr>
      <w:rFonts w:eastAsiaTheme="minorEastAsia"/>
      <w:lang w:eastAsia="es-PE"/>
    </w:rPr>
  </w:style>
  <w:style w:type="table" w:styleId="Tablaconcuadrcula">
    <w:name w:val="Table Grid"/>
    <w:basedOn w:val="Tablanormal"/>
    <w:uiPriority w:val="39"/>
    <w:rsid w:val="00E450F7"/>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n,footnote text,Footnotes,Footnote ak,Footnote Text Char1,Footnote Text Char Char,fn Char Char,footnote text Char Char,Footnotes Char Char,Footnote ak Char Char,fn Char1,footnote text Char1,Footnotes Char1,Footnote ak Char1,ft,fn cafc,Ca"/>
    <w:basedOn w:val="Normal"/>
    <w:link w:val="TextonotapieCar"/>
    <w:uiPriority w:val="99"/>
    <w:unhideWhenUsed/>
    <w:rsid w:val="0027482E"/>
    <w:pPr>
      <w:spacing w:after="0" w:line="240" w:lineRule="auto"/>
    </w:pPr>
    <w:rPr>
      <w:sz w:val="20"/>
      <w:szCs w:val="20"/>
    </w:rPr>
  </w:style>
  <w:style w:type="character" w:customStyle="1" w:styleId="TextonotapieCar">
    <w:name w:val="Texto nota pie Car"/>
    <w:aliases w:val="fn Car,footnote text Car,Footnotes Car,Footnote ak Car,Footnote Text Char1 Car,Footnote Text Char Char Car,fn Char Char Car,footnote text Char Char Car,Footnotes Char Char Car,Footnote ak Char Char Car,fn Char1 Car,Footnotes Char1 Car"/>
    <w:basedOn w:val="Fuentedeprrafopredeter"/>
    <w:link w:val="Textonotapie"/>
    <w:uiPriority w:val="99"/>
    <w:rsid w:val="0027482E"/>
    <w:rPr>
      <w:rFonts w:eastAsiaTheme="minorEastAsia"/>
      <w:sz w:val="20"/>
      <w:szCs w:val="20"/>
      <w:lang w:eastAsia="es-PE"/>
    </w:rPr>
  </w:style>
  <w:style w:type="character" w:styleId="Refdenotaalpie">
    <w:name w:val="footnote reference"/>
    <w:aliases w:val="Ref,de nota al pie,de nota al pie + (Asian) MS Mincho,11 pt,註腳內容,Footnote Reference1,Ref1,de nota al pie1,Error-Fußnotenzeichen5,Error-Fußnotenzeichen6,Error-Fußnotenzeichen3,16 Point,Superscript 6 Point,FC,Ref.,de,nota,al,pie,ftref"/>
    <w:basedOn w:val="Fuentedeprrafopredeter"/>
    <w:uiPriority w:val="99"/>
    <w:unhideWhenUsed/>
    <w:rsid w:val="0027482E"/>
    <w:rPr>
      <w:vertAlign w:val="superscript"/>
    </w:rPr>
  </w:style>
  <w:style w:type="paragraph" w:styleId="Encabezado">
    <w:name w:val="header"/>
    <w:basedOn w:val="Normal"/>
    <w:link w:val="EncabezadoCar"/>
    <w:uiPriority w:val="99"/>
    <w:unhideWhenUsed/>
    <w:rsid w:val="00A202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02C1"/>
    <w:rPr>
      <w:rFonts w:eastAsiaTheme="minorEastAsia"/>
      <w:lang w:eastAsia="es-PE"/>
    </w:rPr>
  </w:style>
  <w:style w:type="paragraph" w:styleId="Piedepgina">
    <w:name w:val="footer"/>
    <w:basedOn w:val="Normal"/>
    <w:link w:val="PiedepginaCar"/>
    <w:uiPriority w:val="99"/>
    <w:unhideWhenUsed/>
    <w:rsid w:val="00A202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02C1"/>
    <w:rPr>
      <w:rFonts w:eastAsiaTheme="minorEastAsia"/>
      <w:lang w:eastAsia="es-PE"/>
    </w:rPr>
  </w:style>
  <w:style w:type="character" w:customStyle="1" w:styleId="Ttulo1Car">
    <w:name w:val="Título 1 Car"/>
    <w:basedOn w:val="Fuentedeprrafopredeter"/>
    <w:link w:val="Ttulo1"/>
    <w:uiPriority w:val="9"/>
    <w:rsid w:val="00D6064D"/>
    <w:rPr>
      <w:rFonts w:ascii="Arial" w:eastAsia="Arial" w:hAnsi="Arial" w:cs="Arial"/>
      <w:b/>
      <w:bCs/>
      <w:sz w:val="24"/>
      <w:szCs w:val="24"/>
      <w:lang w:val="es-ES"/>
    </w:rPr>
  </w:style>
  <w:style w:type="character" w:styleId="Refdecomentario">
    <w:name w:val="annotation reference"/>
    <w:basedOn w:val="Fuentedeprrafopredeter"/>
    <w:uiPriority w:val="99"/>
    <w:semiHidden/>
    <w:unhideWhenUsed/>
    <w:rsid w:val="00D921BF"/>
    <w:rPr>
      <w:sz w:val="16"/>
      <w:szCs w:val="16"/>
    </w:rPr>
  </w:style>
  <w:style w:type="paragraph" w:styleId="Textocomentario">
    <w:name w:val="annotation text"/>
    <w:basedOn w:val="Normal"/>
    <w:link w:val="TextocomentarioCar"/>
    <w:uiPriority w:val="99"/>
    <w:semiHidden/>
    <w:unhideWhenUsed/>
    <w:rsid w:val="00D921B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21BF"/>
    <w:rPr>
      <w:rFonts w:eastAsiaTheme="minorEastAsia"/>
      <w:sz w:val="20"/>
      <w:szCs w:val="20"/>
      <w:lang w:eastAsia="es-PE"/>
    </w:rPr>
  </w:style>
  <w:style w:type="paragraph" w:styleId="Textodeglobo">
    <w:name w:val="Balloon Text"/>
    <w:basedOn w:val="Normal"/>
    <w:link w:val="TextodegloboCar"/>
    <w:uiPriority w:val="99"/>
    <w:semiHidden/>
    <w:unhideWhenUsed/>
    <w:rsid w:val="00D921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21BF"/>
    <w:rPr>
      <w:rFonts w:ascii="Segoe UI" w:eastAsiaTheme="minorEastAsia" w:hAnsi="Segoe UI" w:cs="Segoe UI"/>
      <w:sz w:val="18"/>
      <w:szCs w:val="18"/>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474D0-AF14-4AF1-AD27-0B74939D2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1795</Words>
  <Characters>9874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DNSE - CEPLAN</dc:creator>
  <cp:keywords/>
  <dc:description/>
  <cp:lastModifiedBy>GABRIEL</cp:lastModifiedBy>
  <cp:revision>15</cp:revision>
  <dcterms:created xsi:type="dcterms:W3CDTF">2021-06-11T16:58:00Z</dcterms:created>
  <dcterms:modified xsi:type="dcterms:W3CDTF">2021-06-16T01:37:00Z</dcterms:modified>
</cp:coreProperties>
</file>