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FB6A" w14:textId="327D17F9" w:rsidR="00E450F7" w:rsidRPr="004C52FE" w:rsidRDefault="006C4818" w:rsidP="004507EA">
      <w:pPr>
        <w:jc w:val="center"/>
        <w:rPr>
          <w:rFonts w:ascii="Arial Narrow" w:hAnsi="Arial Narrow" w:cstheme="minorHAnsi"/>
          <w:b/>
          <w:color w:val="323E4F" w:themeColor="text2" w:themeShade="BF"/>
          <w:sz w:val="28"/>
          <w:szCs w:val="28"/>
        </w:rPr>
      </w:pPr>
      <w:r>
        <w:rPr>
          <w:rFonts w:ascii="Arial Narrow" w:hAnsi="Arial Narrow" w:cstheme="minorHAnsi"/>
          <w:b/>
          <w:color w:val="323E4F" w:themeColor="text2" w:themeShade="BF"/>
          <w:sz w:val="28"/>
          <w:szCs w:val="28"/>
        </w:rPr>
        <w:t>R</w:t>
      </w:r>
      <w:r w:rsidR="00E450F7" w:rsidRPr="004C52FE">
        <w:rPr>
          <w:rFonts w:ascii="Arial Narrow" w:hAnsi="Arial Narrow" w:cstheme="minorHAnsi"/>
          <w:b/>
          <w:color w:val="323E4F" w:themeColor="text2" w:themeShade="BF"/>
          <w:sz w:val="28"/>
          <w:szCs w:val="28"/>
        </w:rPr>
        <w:t xml:space="preserve">eporte de </w:t>
      </w:r>
      <w:r w:rsidR="00BC6148">
        <w:rPr>
          <w:rFonts w:ascii="Arial Narrow" w:hAnsi="Arial Narrow" w:cstheme="minorHAnsi"/>
          <w:b/>
          <w:color w:val="323E4F" w:themeColor="text2" w:themeShade="BF"/>
          <w:sz w:val="28"/>
          <w:szCs w:val="28"/>
        </w:rPr>
        <w:t>C</w:t>
      </w:r>
      <w:r w:rsidR="00E450F7" w:rsidRPr="004C52FE">
        <w:rPr>
          <w:rFonts w:ascii="Arial Narrow" w:hAnsi="Arial Narrow" w:cstheme="minorHAnsi"/>
          <w:b/>
          <w:color w:val="323E4F" w:themeColor="text2" w:themeShade="BF"/>
          <w:sz w:val="28"/>
          <w:szCs w:val="28"/>
        </w:rPr>
        <w:t xml:space="preserve">umplimiento de </w:t>
      </w:r>
      <w:r w:rsidR="00BC6148">
        <w:rPr>
          <w:rFonts w:ascii="Arial Narrow" w:hAnsi="Arial Narrow" w:cstheme="minorHAnsi"/>
          <w:b/>
          <w:color w:val="323E4F" w:themeColor="text2" w:themeShade="BF"/>
          <w:sz w:val="28"/>
          <w:szCs w:val="28"/>
        </w:rPr>
        <w:t>P</w:t>
      </w:r>
      <w:r w:rsidR="00E450F7" w:rsidRPr="004C52FE">
        <w:rPr>
          <w:rFonts w:ascii="Arial Narrow" w:hAnsi="Arial Narrow" w:cstheme="minorHAnsi"/>
          <w:b/>
          <w:color w:val="323E4F" w:themeColor="text2" w:themeShade="BF"/>
          <w:sz w:val="28"/>
          <w:szCs w:val="28"/>
        </w:rPr>
        <w:t xml:space="preserve">olíticas </w:t>
      </w:r>
      <w:r w:rsidR="00BC6148">
        <w:rPr>
          <w:rFonts w:ascii="Arial Narrow" w:hAnsi="Arial Narrow" w:cstheme="minorHAnsi"/>
          <w:b/>
          <w:color w:val="323E4F" w:themeColor="text2" w:themeShade="BF"/>
          <w:sz w:val="28"/>
          <w:szCs w:val="28"/>
        </w:rPr>
        <w:t>N</w:t>
      </w:r>
      <w:r w:rsidR="00E450F7" w:rsidRPr="004C52FE">
        <w:rPr>
          <w:rFonts w:ascii="Arial Narrow" w:hAnsi="Arial Narrow" w:cstheme="minorHAnsi"/>
          <w:b/>
          <w:color w:val="323E4F" w:themeColor="text2" w:themeShade="BF"/>
          <w:sz w:val="28"/>
          <w:szCs w:val="28"/>
        </w:rPr>
        <w:t>acionales</w:t>
      </w:r>
    </w:p>
    <w:tbl>
      <w:tblPr>
        <w:tblStyle w:val="Tablaconcuadrcula"/>
        <w:tblW w:w="9130" w:type="dxa"/>
        <w:tblLook w:val="04A0" w:firstRow="1" w:lastRow="0" w:firstColumn="1" w:lastColumn="0" w:noHBand="0" w:noVBand="1"/>
      </w:tblPr>
      <w:tblGrid>
        <w:gridCol w:w="1972"/>
        <w:gridCol w:w="7158"/>
      </w:tblGrid>
      <w:tr w:rsidR="00E450F7" w:rsidRPr="004C52FE" w14:paraId="4FFF4CF7" w14:textId="77777777" w:rsidTr="006C4818">
        <w:trPr>
          <w:trHeight w:val="282"/>
        </w:trPr>
        <w:tc>
          <w:tcPr>
            <w:tcW w:w="1972" w:type="dxa"/>
            <w:vAlign w:val="center"/>
          </w:tcPr>
          <w:p w14:paraId="5B82EEF0" w14:textId="77777777" w:rsidR="00E450F7" w:rsidRPr="004C52FE" w:rsidRDefault="00E450F7" w:rsidP="00186F80">
            <w:pPr>
              <w:rPr>
                <w:rFonts w:ascii="Arial Narrow" w:hAnsi="Arial Narrow" w:cstheme="minorHAnsi"/>
                <w:b/>
              </w:rPr>
            </w:pPr>
            <w:r w:rsidRPr="004C52FE">
              <w:rPr>
                <w:rFonts w:ascii="Arial Narrow" w:hAnsi="Arial Narrow" w:cstheme="minorHAnsi"/>
                <w:b/>
              </w:rPr>
              <w:t>Política nacional</w:t>
            </w:r>
          </w:p>
        </w:tc>
        <w:tc>
          <w:tcPr>
            <w:tcW w:w="7158" w:type="dxa"/>
            <w:vAlign w:val="center"/>
          </w:tcPr>
          <w:p w14:paraId="491544DA" w14:textId="37ECD9B5" w:rsidR="00E450F7" w:rsidRPr="004C52FE" w:rsidRDefault="00C7362D" w:rsidP="00186F80">
            <w:pPr>
              <w:rPr>
                <w:rFonts w:ascii="Arial Narrow" w:hAnsi="Arial Narrow" w:cstheme="minorHAnsi"/>
                <w:color w:val="4472C4" w:themeColor="accent1"/>
              </w:rPr>
            </w:pPr>
            <w:r w:rsidRPr="00C7362D">
              <w:rPr>
                <w:rFonts w:ascii="Arial Narrow" w:hAnsi="Arial Narrow" w:cstheme="minorHAnsi"/>
              </w:rPr>
              <w:t>Política Energética Nacional del Perú</w:t>
            </w:r>
            <w:r>
              <w:rPr>
                <w:rFonts w:ascii="Arial Narrow" w:hAnsi="Arial Narrow" w:cstheme="minorHAnsi"/>
              </w:rPr>
              <w:t xml:space="preserve"> 2010-2040</w:t>
            </w:r>
          </w:p>
        </w:tc>
      </w:tr>
      <w:tr w:rsidR="00E450F7" w:rsidRPr="004C52FE" w14:paraId="266EB6B7" w14:textId="77777777" w:rsidTr="006C4818">
        <w:trPr>
          <w:trHeight w:val="472"/>
        </w:trPr>
        <w:tc>
          <w:tcPr>
            <w:tcW w:w="1972" w:type="dxa"/>
            <w:vAlign w:val="center"/>
          </w:tcPr>
          <w:p w14:paraId="10387D8B" w14:textId="77777777" w:rsidR="00E450F7" w:rsidRPr="004C52FE" w:rsidRDefault="00E450F7" w:rsidP="00186F80">
            <w:pPr>
              <w:rPr>
                <w:rFonts w:ascii="Arial Narrow" w:hAnsi="Arial Narrow" w:cstheme="minorHAnsi"/>
                <w:b/>
              </w:rPr>
            </w:pPr>
            <w:r w:rsidRPr="004C52FE">
              <w:rPr>
                <w:rFonts w:ascii="Arial Narrow" w:hAnsi="Arial Narrow" w:cstheme="minorHAnsi"/>
                <w:b/>
              </w:rPr>
              <w:t>Ministerio rector o conductor</w:t>
            </w:r>
          </w:p>
        </w:tc>
        <w:tc>
          <w:tcPr>
            <w:tcW w:w="7158" w:type="dxa"/>
            <w:vAlign w:val="center"/>
          </w:tcPr>
          <w:p w14:paraId="623500DB" w14:textId="1999CFFB" w:rsidR="00E450F7" w:rsidRPr="004C52FE" w:rsidRDefault="00C7362D" w:rsidP="00186F80">
            <w:pPr>
              <w:rPr>
                <w:rFonts w:ascii="Arial Narrow" w:hAnsi="Arial Narrow" w:cstheme="minorHAnsi"/>
                <w:color w:val="4472C4" w:themeColor="accent1"/>
              </w:rPr>
            </w:pPr>
            <w:r w:rsidRPr="00C7362D">
              <w:rPr>
                <w:rFonts w:ascii="Arial Narrow" w:hAnsi="Arial Narrow" w:cstheme="minorHAnsi"/>
              </w:rPr>
              <w:t xml:space="preserve">Ministerio de Energía y Minas </w:t>
            </w:r>
          </w:p>
        </w:tc>
      </w:tr>
      <w:tr w:rsidR="00E450F7" w:rsidRPr="004C52FE" w14:paraId="0B539337" w14:textId="77777777" w:rsidTr="006C4818">
        <w:trPr>
          <w:trHeight w:val="282"/>
        </w:trPr>
        <w:tc>
          <w:tcPr>
            <w:tcW w:w="1972" w:type="dxa"/>
            <w:vAlign w:val="center"/>
          </w:tcPr>
          <w:p w14:paraId="00644634" w14:textId="77777777" w:rsidR="00E450F7" w:rsidRPr="004C52FE" w:rsidRDefault="00E450F7" w:rsidP="00186F80">
            <w:pPr>
              <w:rPr>
                <w:rFonts w:ascii="Arial Narrow" w:hAnsi="Arial Narrow" w:cstheme="minorHAnsi"/>
                <w:b/>
              </w:rPr>
            </w:pPr>
            <w:r w:rsidRPr="004C52FE">
              <w:rPr>
                <w:rFonts w:ascii="Arial Narrow" w:hAnsi="Arial Narrow" w:cstheme="minorHAnsi"/>
                <w:b/>
              </w:rPr>
              <w:t>Problema público</w:t>
            </w:r>
          </w:p>
        </w:tc>
        <w:tc>
          <w:tcPr>
            <w:tcW w:w="7158" w:type="dxa"/>
            <w:vAlign w:val="center"/>
          </w:tcPr>
          <w:p w14:paraId="21E5E374" w14:textId="47926B3A" w:rsidR="0095345C" w:rsidRPr="004C52FE" w:rsidRDefault="0095345C" w:rsidP="00186F80">
            <w:pPr>
              <w:rPr>
                <w:rFonts w:ascii="Arial Narrow" w:hAnsi="Arial Narrow" w:cstheme="minorHAnsi"/>
                <w:color w:val="4472C4" w:themeColor="accent1"/>
              </w:rPr>
            </w:pPr>
          </w:p>
        </w:tc>
      </w:tr>
      <w:tr w:rsidR="00C7362D" w:rsidRPr="00C7362D" w14:paraId="3B293F40" w14:textId="77777777" w:rsidTr="006C4818">
        <w:trPr>
          <w:trHeight w:val="282"/>
        </w:trPr>
        <w:tc>
          <w:tcPr>
            <w:tcW w:w="1972" w:type="dxa"/>
            <w:vAlign w:val="center"/>
          </w:tcPr>
          <w:p w14:paraId="7063DD17" w14:textId="77777777" w:rsidR="00E450F7" w:rsidRPr="004C52FE" w:rsidRDefault="00E450F7" w:rsidP="00186F80">
            <w:pPr>
              <w:rPr>
                <w:rFonts w:ascii="Arial Narrow" w:hAnsi="Arial Narrow" w:cstheme="minorHAnsi"/>
                <w:b/>
              </w:rPr>
            </w:pPr>
            <w:r w:rsidRPr="004C52FE">
              <w:rPr>
                <w:rFonts w:ascii="Arial Narrow" w:hAnsi="Arial Narrow" w:cstheme="minorHAnsi"/>
                <w:b/>
              </w:rPr>
              <w:t>Dispositivo legal</w:t>
            </w:r>
          </w:p>
        </w:tc>
        <w:tc>
          <w:tcPr>
            <w:tcW w:w="7158" w:type="dxa"/>
            <w:vAlign w:val="center"/>
          </w:tcPr>
          <w:p w14:paraId="4225B1F8" w14:textId="17A8AE3E" w:rsidR="00E450F7" w:rsidRPr="00C7362D" w:rsidRDefault="00C7362D" w:rsidP="00186F80">
            <w:pPr>
              <w:rPr>
                <w:rFonts w:ascii="Arial Narrow" w:hAnsi="Arial Narrow" w:cstheme="minorHAnsi"/>
              </w:rPr>
            </w:pPr>
            <w:r w:rsidRPr="00C7362D">
              <w:rPr>
                <w:rFonts w:ascii="Arial Narrow" w:hAnsi="Arial Narrow" w:cstheme="minorHAnsi"/>
              </w:rPr>
              <w:t>Decreto Supre</w:t>
            </w:r>
            <w:r>
              <w:rPr>
                <w:rFonts w:ascii="Arial Narrow" w:hAnsi="Arial Narrow" w:cstheme="minorHAnsi"/>
              </w:rPr>
              <w:t>m</w:t>
            </w:r>
            <w:r w:rsidRPr="00C7362D">
              <w:rPr>
                <w:rFonts w:ascii="Arial Narrow" w:hAnsi="Arial Narrow" w:cstheme="minorHAnsi"/>
              </w:rPr>
              <w:t xml:space="preserve">o </w:t>
            </w:r>
            <w:proofErr w:type="spellStart"/>
            <w:r w:rsidRPr="00C7362D">
              <w:rPr>
                <w:rFonts w:ascii="Arial Narrow" w:hAnsi="Arial Narrow" w:cstheme="minorHAnsi"/>
              </w:rPr>
              <w:t>N°</w:t>
            </w:r>
            <w:proofErr w:type="spellEnd"/>
            <w:r w:rsidRPr="00C7362D">
              <w:rPr>
                <w:rFonts w:ascii="Arial Narrow" w:hAnsi="Arial Narrow" w:cstheme="minorHAnsi"/>
              </w:rPr>
              <w:t xml:space="preserve"> 064-2010-EM</w:t>
            </w:r>
          </w:p>
        </w:tc>
      </w:tr>
    </w:tbl>
    <w:p w14:paraId="13C2B459" w14:textId="176E59CF" w:rsidR="00E450F7" w:rsidRPr="004C52FE" w:rsidRDefault="00E450F7" w:rsidP="00E450F7">
      <w:pPr>
        <w:rPr>
          <w:rFonts w:ascii="Arial Narrow" w:hAnsi="Arial Narrow" w:cstheme="minorHAnsi"/>
          <w:b/>
        </w:rPr>
      </w:pPr>
    </w:p>
    <w:p w14:paraId="7C59760F" w14:textId="66C035B7" w:rsidR="004507EA" w:rsidRPr="004C52FE" w:rsidRDefault="004507EA" w:rsidP="004507EA">
      <w:pPr>
        <w:pStyle w:val="Prrafodelista"/>
        <w:numPr>
          <w:ilvl w:val="0"/>
          <w:numId w:val="5"/>
        </w:numPr>
        <w:ind w:left="284" w:hanging="218"/>
        <w:rPr>
          <w:rFonts w:ascii="Arial Narrow" w:hAnsi="Arial Narrow" w:cstheme="minorHAnsi"/>
          <w:b/>
        </w:rPr>
      </w:pPr>
      <w:r w:rsidRPr="004C52FE">
        <w:rPr>
          <w:rFonts w:ascii="Arial Narrow" w:hAnsi="Arial Narrow" w:cstheme="minorHAnsi"/>
          <w:b/>
        </w:rPr>
        <w:t>Avance del cumplimiento de los objetivos prioritarios</w:t>
      </w:r>
    </w:p>
    <w:p w14:paraId="6954B685" w14:textId="7A3CE05F" w:rsidR="004507EA" w:rsidRPr="004C52FE" w:rsidRDefault="00882F42" w:rsidP="001A4937">
      <w:pPr>
        <w:pBdr>
          <w:top w:val="nil"/>
          <w:left w:val="nil"/>
          <w:bottom w:val="nil"/>
          <w:right w:val="nil"/>
          <w:between w:val="nil"/>
        </w:pBdr>
        <w:spacing w:after="120" w:line="240" w:lineRule="auto"/>
        <w:ind w:left="284"/>
        <w:jc w:val="both"/>
        <w:rPr>
          <w:rFonts w:ascii="Arial Narrow" w:hAnsi="Arial Narrow"/>
          <w:color w:val="7030A0"/>
        </w:rPr>
      </w:pPr>
      <w:r w:rsidRPr="004C52FE">
        <w:rPr>
          <w:rFonts w:ascii="Arial Narrow" w:hAnsi="Arial Narrow"/>
          <w:b/>
          <w:bCs/>
        </w:rPr>
        <w:t>1</w:t>
      </w:r>
      <w:r w:rsidR="004507EA" w:rsidRPr="004C52FE">
        <w:rPr>
          <w:rFonts w:ascii="Arial Narrow" w:hAnsi="Arial Narrow"/>
          <w:b/>
          <w:bCs/>
        </w:rPr>
        <w:t xml:space="preserve">.1 </w:t>
      </w:r>
      <w:r w:rsidR="004F5A58" w:rsidRPr="004C52FE">
        <w:rPr>
          <w:rFonts w:ascii="Arial Narrow" w:hAnsi="Arial Narrow"/>
          <w:b/>
          <w:bCs/>
        </w:rPr>
        <w:t>Resultado</w:t>
      </w:r>
      <w:r w:rsidR="004507EA" w:rsidRPr="004C52FE">
        <w:rPr>
          <w:rFonts w:ascii="Arial Narrow" w:hAnsi="Arial Narrow"/>
          <w:b/>
          <w:bCs/>
        </w:rPr>
        <w:t xml:space="preserve"> general</w:t>
      </w:r>
      <w:r w:rsidRPr="004C52FE">
        <w:rPr>
          <w:rFonts w:ascii="Arial Narrow" w:hAnsi="Arial Narrow"/>
        </w:rPr>
        <w:t xml:space="preserve"> </w:t>
      </w:r>
    </w:p>
    <w:p w14:paraId="7ED48DE2" w14:textId="5B110798" w:rsidR="00446CD0" w:rsidRPr="002A7A43" w:rsidRDefault="00446CD0" w:rsidP="00B424EF">
      <w:pPr>
        <w:spacing w:after="0" w:line="240" w:lineRule="auto"/>
        <w:ind w:left="567"/>
        <w:jc w:val="both"/>
        <w:rPr>
          <w:rFonts w:ascii="Arial Narrow" w:hAnsi="Arial Narrow" w:cstheme="minorHAnsi"/>
        </w:rPr>
      </w:pPr>
      <w:r w:rsidRPr="002A7A43">
        <w:rPr>
          <w:rFonts w:ascii="Arial Narrow" w:hAnsi="Arial Narrow" w:cstheme="minorHAnsi"/>
        </w:rPr>
        <w:t xml:space="preserve">Existió un incremento </w:t>
      </w:r>
      <w:r w:rsidR="001A2181">
        <w:rPr>
          <w:rFonts w:ascii="Arial Narrow" w:hAnsi="Arial Narrow" w:cstheme="minorHAnsi"/>
        </w:rPr>
        <w:t>en el año 2020 de</w:t>
      </w:r>
      <w:r w:rsidRPr="002A7A43">
        <w:rPr>
          <w:rFonts w:ascii="Arial Narrow" w:hAnsi="Arial Narrow" w:cstheme="minorHAnsi"/>
        </w:rPr>
        <w:t xml:space="preserve"> 1.5% respecto a la máxima demanda de potencia del Sistema Eléctrico Interconectado Nacional que se registró en 2019. A nivel nacional, la producción de energía eléctrica acumulada </w:t>
      </w:r>
      <w:r w:rsidR="002A7A43" w:rsidRPr="002A7A43">
        <w:rPr>
          <w:rFonts w:ascii="Arial Narrow" w:hAnsi="Arial Narrow" w:cstheme="minorHAnsi"/>
        </w:rPr>
        <w:t>se redujo en un 8.1% respecto al 2019.</w:t>
      </w:r>
    </w:p>
    <w:p w14:paraId="1224BA88" w14:textId="375D4190" w:rsidR="00B424EF" w:rsidRPr="002A7A43" w:rsidRDefault="000F644A" w:rsidP="00B424EF">
      <w:pPr>
        <w:ind w:left="567"/>
        <w:jc w:val="both"/>
        <w:rPr>
          <w:rFonts w:ascii="Arial Narrow" w:hAnsi="Arial Narrow" w:cstheme="minorHAnsi"/>
        </w:rPr>
      </w:pPr>
      <w:r>
        <w:rPr>
          <w:rFonts w:ascii="Arial Narrow" w:hAnsi="Arial Narrow" w:cstheme="minorHAnsi"/>
          <w:noProof/>
        </w:rPr>
        <w:drawing>
          <wp:anchor distT="0" distB="0" distL="114300" distR="114300" simplePos="0" relativeHeight="251658240" behindDoc="1" locked="0" layoutInCell="1" allowOverlap="1" wp14:anchorId="41AC6D00" wp14:editId="20B79DA8">
            <wp:simplePos x="0" y="0"/>
            <wp:positionH relativeFrom="leftMargin">
              <wp:align>right</wp:align>
            </wp:positionH>
            <wp:positionV relativeFrom="paragraph">
              <wp:posOffset>1007859</wp:posOffset>
            </wp:positionV>
            <wp:extent cx="867064" cy="10343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64" cy="1034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A43" w:rsidRPr="002A7A43">
        <w:rPr>
          <w:rFonts w:ascii="Arial Narrow" w:hAnsi="Arial Narrow" w:cstheme="minorHAnsi"/>
        </w:rPr>
        <w:t>El resultado más relevante respecto al problema público es la implementación del Programa</w:t>
      </w:r>
      <w:r w:rsidR="001A2181">
        <w:rPr>
          <w:rFonts w:ascii="Arial Narrow" w:hAnsi="Arial Narrow" w:cstheme="minorHAnsi"/>
        </w:rPr>
        <w:t xml:space="preserve"> Presupuestal Acceso Universal a la</w:t>
      </w:r>
      <w:r w:rsidR="002A7A43" w:rsidRPr="002A7A43">
        <w:rPr>
          <w:rFonts w:ascii="Arial Narrow" w:hAnsi="Arial Narrow" w:cstheme="minorHAnsi"/>
        </w:rPr>
        <w:t xml:space="preserve"> Electrificación Rural</w:t>
      </w:r>
      <w:r w:rsidR="001A2181">
        <w:rPr>
          <w:rFonts w:ascii="Arial Narrow" w:hAnsi="Arial Narrow" w:cstheme="minorHAnsi"/>
        </w:rPr>
        <w:t>, e</w:t>
      </w:r>
      <w:r w:rsidR="00B424EF" w:rsidRPr="00B424EF">
        <w:rPr>
          <w:rFonts w:ascii="Arial Narrow" w:hAnsi="Arial Narrow" w:cstheme="minorHAnsi"/>
        </w:rPr>
        <w:t>l cual tiene como finalidad garantizar a los pobladores el acceso universal al servicio de energía eléctrica, prioritariamente a las localidades rurales, aisladas y zonas de frontera, ubicadas mayormente en los quintiles I y II de</w:t>
      </w:r>
      <w:r w:rsidR="001A2181">
        <w:rPr>
          <w:rFonts w:ascii="Arial Narrow" w:hAnsi="Arial Narrow" w:cstheme="minorHAnsi"/>
        </w:rPr>
        <w:t>l</w:t>
      </w:r>
      <w:r w:rsidR="00B424EF" w:rsidRPr="00B424EF">
        <w:rPr>
          <w:rFonts w:ascii="Arial Narrow" w:hAnsi="Arial Narrow" w:cstheme="minorHAnsi"/>
        </w:rPr>
        <w:t xml:space="preserve"> índice de pobreza. En 2020, se concluyeron 8 obras de electrificación rural con una inversión total de S/ 99 millones, logrando electrificar a 767 localidades y beneficiando a 99 mil habitantes</w:t>
      </w:r>
      <w:r w:rsidR="001A2181">
        <w:rPr>
          <w:rFonts w:ascii="Arial Narrow" w:hAnsi="Arial Narrow" w:cstheme="minorHAnsi"/>
        </w:rPr>
        <w:t>.</w:t>
      </w:r>
    </w:p>
    <w:p w14:paraId="20368878" w14:textId="0C7899B8" w:rsidR="004507EA" w:rsidRPr="004C52FE" w:rsidRDefault="00882F42" w:rsidP="004507EA">
      <w:pPr>
        <w:pBdr>
          <w:top w:val="nil"/>
          <w:left w:val="nil"/>
          <w:bottom w:val="nil"/>
          <w:right w:val="nil"/>
          <w:between w:val="nil"/>
        </w:pBdr>
        <w:spacing w:after="120" w:line="240" w:lineRule="auto"/>
        <w:ind w:left="284"/>
        <w:jc w:val="both"/>
        <w:rPr>
          <w:rFonts w:ascii="Arial Narrow" w:hAnsi="Arial Narrow"/>
        </w:rPr>
      </w:pPr>
      <w:r w:rsidRPr="004C52FE">
        <w:rPr>
          <w:rFonts w:ascii="Arial Narrow" w:hAnsi="Arial Narrow"/>
          <w:b/>
          <w:bCs/>
        </w:rPr>
        <w:t>1</w:t>
      </w:r>
      <w:r w:rsidR="004507EA" w:rsidRPr="004C52FE">
        <w:rPr>
          <w:rFonts w:ascii="Arial Narrow" w:hAnsi="Arial Narrow"/>
          <w:b/>
          <w:bCs/>
        </w:rPr>
        <w:t xml:space="preserve">.2 </w:t>
      </w:r>
      <w:r w:rsidR="004F5A58" w:rsidRPr="004C52FE">
        <w:rPr>
          <w:rFonts w:ascii="Arial Narrow" w:hAnsi="Arial Narrow"/>
          <w:b/>
          <w:bCs/>
        </w:rPr>
        <w:t>Resultado</w:t>
      </w:r>
      <w:r w:rsidR="004507EA" w:rsidRPr="004C52FE">
        <w:rPr>
          <w:rFonts w:ascii="Arial Narrow" w:hAnsi="Arial Narrow"/>
          <w:b/>
          <w:bCs/>
        </w:rPr>
        <w:t xml:space="preserve"> de cada objetivo</w:t>
      </w:r>
      <w:r w:rsidRPr="004C52FE">
        <w:rPr>
          <w:rFonts w:ascii="Arial Narrow" w:hAnsi="Arial Narrow"/>
        </w:rPr>
        <w:t xml:space="preserve"> </w:t>
      </w:r>
    </w:p>
    <w:p w14:paraId="0EE07370" w14:textId="7045C979" w:rsidR="00C7362D" w:rsidRDefault="00882F42" w:rsidP="00C7362D">
      <w:pPr>
        <w:tabs>
          <w:tab w:val="left" w:pos="1548"/>
        </w:tabs>
        <w:ind w:left="426"/>
        <w:rPr>
          <w:rFonts w:ascii="Arial Narrow" w:hAnsi="Arial Narrow" w:cstheme="minorHAnsi"/>
          <w:b/>
        </w:rPr>
      </w:pPr>
      <w:r w:rsidRPr="004C52FE">
        <w:rPr>
          <w:rFonts w:ascii="Arial Narrow" w:hAnsi="Arial Narrow" w:cstheme="minorHAnsi"/>
          <w:b/>
        </w:rPr>
        <w:t>OP.01.</w:t>
      </w:r>
      <w:r w:rsidR="00C7362D">
        <w:rPr>
          <w:rFonts w:ascii="Arial Narrow" w:hAnsi="Arial Narrow" w:cstheme="minorHAnsi"/>
          <w:b/>
        </w:rPr>
        <w:t xml:space="preserve"> </w:t>
      </w:r>
      <w:r w:rsidR="00C7362D" w:rsidRPr="00C7362D">
        <w:rPr>
          <w:rFonts w:ascii="Arial Narrow" w:hAnsi="Arial Narrow" w:cstheme="minorHAnsi"/>
          <w:b/>
        </w:rPr>
        <w:t>Contar con una matriz energética diversificada, con énfasis en las fuentes renovables y la eficiencia energética</w:t>
      </w:r>
    </w:p>
    <w:p w14:paraId="752FEC24" w14:textId="77777777" w:rsidR="003503DA" w:rsidRPr="00B424EF" w:rsidRDefault="004507EA" w:rsidP="004507EA">
      <w:pPr>
        <w:pBdr>
          <w:top w:val="nil"/>
          <w:left w:val="nil"/>
          <w:bottom w:val="nil"/>
          <w:right w:val="nil"/>
          <w:between w:val="nil"/>
        </w:pBdr>
        <w:spacing w:after="120" w:line="240" w:lineRule="auto"/>
        <w:ind w:left="426"/>
        <w:jc w:val="both"/>
        <w:rPr>
          <w:rFonts w:ascii="Arial Narrow" w:hAnsi="Arial Narrow" w:cstheme="minorHAnsi"/>
        </w:rPr>
      </w:pPr>
      <w:bookmarkStart w:id="0" w:name="_Hlk72764514"/>
      <w:r w:rsidRPr="00B424EF">
        <w:rPr>
          <w:rFonts w:ascii="Arial Narrow" w:hAnsi="Arial Narrow" w:cstheme="minorHAnsi"/>
        </w:rPr>
        <w:t>Avance:</w:t>
      </w:r>
    </w:p>
    <w:p w14:paraId="696B0ABF" w14:textId="014EB297" w:rsidR="00B424EF" w:rsidRDefault="00B424EF" w:rsidP="004507EA">
      <w:pPr>
        <w:pBdr>
          <w:top w:val="nil"/>
          <w:left w:val="nil"/>
          <w:bottom w:val="nil"/>
          <w:right w:val="nil"/>
          <w:between w:val="nil"/>
        </w:pBdr>
        <w:spacing w:after="120" w:line="240" w:lineRule="auto"/>
        <w:ind w:left="426"/>
        <w:jc w:val="both"/>
        <w:rPr>
          <w:rFonts w:ascii="Arial Narrow" w:hAnsi="Arial Narrow" w:cstheme="minorHAnsi"/>
        </w:rPr>
      </w:pPr>
      <w:r>
        <w:rPr>
          <w:rFonts w:ascii="Arial Narrow" w:hAnsi="Arial Narrow" w:cstheme="minorHAnsi"/>
        </w:rPr>
        <w:t>Al cierre del 2020, se han logrado los siguientes avances en cuanto</w:t>
      </w:r>
      <w:r w:rsidR="00F52D3D">
        <w:rPr>
          <w:rFonts w:ascii="Arial Narrow" w:hAnsi="Arial Narrow" w:cstheme="minorHAnsi"/>
        </w:rPr>
        <w:t xml:space="preserve"> contar con una matriz energética diversificada con énfasis en fuentes renovables y eficiencia energética.</w:t>
      </w:r>
    </w:p>
    <w:p w14:paraId="12261CC7" w14:textId="77777777" w:rsidR="004515CF" w:rsidRDefault="004515CF" w:rsidP="00286D52">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4515CF">
        <w:rPr>
          <w:rFonts w:ascii="Arial Narrow" w:hAnsi="Arial Narrow" w:cstheme="minorHAnsi"/>
        </w:rPr>
        <w:t>Clasificándolo por fuente, 14,485.1 MW corresponde a centrales hidráulicas y térmicas, 409.9 MW a centrales eólicas alcanzó los y 289.0 MW a centrales solares</w:t>
      </w:r>
      <w:r w:rsidRPr="00286D52">
        <w:rPr>
          <w:rFonts w:ascii="Arial Narrow" w:hAnsi="Arial Narrow" w:cstheme="minorHAnsi"/>
        </w:rPr>
        <w:t xml:space="preserve"> </w:t>
      </w:r>
    </w:p>
    <w:p w14:paraId="5EEC4803" w14:textId="77777777" w:rsidR="003234EF" w:rsidRDefault="003234EF" w:rsidP="003234EF">
      <w:pPr>
        <w:pStyle w:val="Prrafodelista"/>
        <w:pBdr>
          <w:top w:val="nil"/>
          <w:left w:val="nil"/>
          <w:bottom w:val="nil"/>
          <w:right w:val="nil"/>
          <w:between w:val="nil"/>
        </w:pBdr>
        <w:spacing w:after="120" w:line="240" w:lineRule="auto"/>
        <w:ind w:left="851"/>
        <w:jc w:val="both"/>
        <w:rPr>
          <w:rFonts w:ascii="Arial Narrow" w:hAnsi="Arial Narrow" w:cstheme="minorHAnsi"/>
        </w:rPr>
      </w:pPr>
    </w:p>
    <w:bookmarkEnd w:id="0"/>
    <w:p w14:paraId="4DA4A56B" w14:textId="57414332" w:rsidR="00C7362D" w:rsidRDefault="00882F42" w:rsidP="00C7362D">
      <w:pPr>
        <w:snapToGrid w:val="0"/>
        <w:spacing w:line="276" w:lineRule="auto"/>
        <w:ind w:left="426"/>
        <w:jc w:val="both"/>
        <w:rPr>
          <w:rFonts w:ascii="Arial Narrow" w:hAnsi="Arial Narrow" w:cstheme="minorHAnsi"/>
          <w:b/>
        </w:rPr>
      </w:pPr>
      <w:r w:rsidRPr="004C52FE">
        <w:rPr>
          <w:rFonts w:ascii="Arial Narrow" w:hAnsi="Arial Narrow" w:cstheme="minorHAnsi"/>
          <w:b/>
        </w:rPr>
        <w:t>OP.02</w:t>
      </w:r>
      <w:r w:rsidRPr="00C7362D">
        <w:rPr>
          <w:rFonts w:ascii="Arial Narrow" w:hAnsi="Arial Narrow" w:cstheme="minorHAnsi"/>
          <w:b/>
        </w:rPr>
        <w:t xml:space="preserve">. </w:t>
      </w:r>
      <w:r w:rsidR="00C7362D" w:rsidRPr="00C7362D">
        <w:rPr>
          <w:rFonts w:ascii="Arial Narrow" w:hAnsi="Arial Narrow" w:cstheme="minorHAnsi"/>
          <w:b/>
        </w:rPr>
        <w:t>Contar con un abastecimiento energético competitivo.</w:t>
      </w:r>
    </w:p>
    <w:p w14:paraId="3B9EDEC1" w14:textId="1D1527D4" w:rsidR="00AC5AE2" w:rsidRDefault="00AC5AE2" w:rsidP="00AC5AE2">
      <w:pPr>
        <w:pBdr>
          <w:top w:val="nil"/>
          <w:left w:val="nil"/>
          <w:bottom w:val="nil"/>
          <w:right w:val="nil"/>
          <w:between w:val="nil"/>
        </w:pBdr>
        <w:spacing w:after="120" w:line="240" w:lineRule="auto"/>
        <w:ind w:left="426"/>
        <w:jc w:val="both"/>
        <w:rPr>
          <w:rFonts w:ascii="Arial Narrow" w:hAnsi="Arial Narrow" w:cstheme="minorHAnsi"/>
        </w:rPr>
      </w:pPr>
      <w:r w:rsidRPr="00B424EF">
        <w:rPr>
          <w:rFonts w:ascii="Arial Narrow" w:hAnsi="Arial Narrow" w:cstheme="minorHAnsi"/>
        </w:rPr>
        <w:t>Avance:</w:t>
      </w:r>
    </w:p>
    <w:p w14:paraId="4FA5A750" w14:textId="10AAF5A6" w:rsidR="00AE5F14" w:rsidRDefault="00AE5F14" w:rsidP="00AC5AE2">
      <w:pPr>
        <w:pBdr>
          <w:top w:val="nil"/>
          <w:left w:val="nil"/>
          <w:bottom w:val="nil"/>
          <w:right w:val="nil"/>
          <w:between w:val="nil"/>
        </w:pBdr>
        <w:spacing w:after="120" w:line="240" w:lineRule="auto"/>
        <w:ind w:left="426"/>
        <w:jc w:val="both"/>
        <w:rPr>
          <w:rFonts w:ascii="Arial Narrow" w:hAnsi="Arial Narrow" w:cstheme="minorHAnsi"/>
        </w:rPr>
      </w:pPr>
      <w:r>
        <w:rPr>
          <w:rFonts w:ascii="Arial Narrow" w:hAnsi="Arial Narrow" w:cstheme="minorHAnsi"/>
        </w:rPr>
        <w:t xml:space="preserve">De acuerdo con el </w:t>
      </w:r>
      <w:r w:rsidR="003234EF">
        <w:rPr>
          <w:rFonts w:ascii="Arial Narrow" w:hAnsi="Arial Narrow" w:cstheme="minorHAnsi"/>
        </w:rPr>
        <w:t>abastecimiento energético competitivo</w:t>
      </w:r>
      <w:r>
        <w:rPr>
          <w:rFonts w:ascii="Arial Narrow" w:hAnsi="Arial Narrow" w:cstheme="minorHAnsi"/>
        </w:rPr>
        <w:t>, al cierre del año 2020</w:t>
      </w:r>
    </w:p>
    <w:p w14:paraId="7E2B15FF" w14:textId="3C96825E" w:rsidR="00AE5F14" w:rsidRDefault="00AE5F14" w:rsidP="00F22FBE">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L</w:t>
      </w:r>
      <w:r w:rsidRPr="00AE5F14">
        <w:rPr>
          <w:rFonts w:ascii="Arial Narrow" w:hAnsi="Arial Narrow" w:cstheme="minorHAnsi"/>
        </w:rPr>
        <w:t>a máxima demanda de potencia del Sistema Eléctrico Interconectado Nacional (SEIN) fue de 7,125.3 MW, representando un incremento de 1,5% respecto a la máxima demanda que se registró en 2019.</w:t>
      </w:r>
    </w:p>
    <w:p w14:paraId="1F6DF9AC" w14:textId="77777777" w:rsidR="003234EF" w:rsidRPr="004C7185" w:rsidRDefault="003234EF" w:rsidP="00F22FBE">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4C7185">
        <w:rPr>
          <w:rFonts w:ascii="Arial Narrow" w:hAnsi="Arial Narrow" w:cstheme="minorHAnsi"/>
        </w:rPr>
        <w:t xml:space="preserve">A nivel nacional, la potencia instalada fue de 15,183.2 MW, de los cuales 13,734.1 MW corresponden al SEIN y 1,449.1 MW a los Sistemas Aislados. </w:t>
      </w:r>
    </w:p>
    <w:p w14:paraId="70C607CD" w14:textId="397A6C13" w:rsidR="001A4937" w:rsidRDefault="001A4937" w:rsidP="001A4937">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Respecto a la c</w:t>
      </w:r>
      <w:r w:rsidRPr="004C7185">
        <w:rPr>
          <w:rFonts w:ascii="Arial Narrow" w:hAnsi="Arial Narrow" w:cstheme="minorHAnsi"/>
        </w:rPr>
        <w:t>lasific</w:t>
      </w:r>
      <w:r>
        <w:rPr>
          <w:rFonts w:ascii="Arial Narrow" w:hAnsi="Arial Narrow" w:cstheme="minorHAnsi"/>
        </w:rPr>
        <w:t>ación</w:t>
      </w:r>
      <w:r w:rsidRPr="004C7185">
        <w:rPr>
          <w:rFonts w:ascii="Arial Narrow" w:hAnsi="Arial Narrow" w:cstheme="minorHAnsi"/>
        </w:rPr>
        <w:t xml:space="preserve"> por fuente, 14,485.1 MW corresponde</w:t>
      </w:r>
      <w:r>
        <w:rPr>
          <w:rFonts w:ascii="Arial Narrow" w:hAnsi="Arial Narrow" w:cstheme="minorHAnsi"/>
        </w:rPr>
        <w:t>n</w:t>
      </w:r>
      <w:r w:rsidRPr="004C7185">
        <w:rPr>
          <w:rFonts w:ascii="Arial Narrow" w:hAnsi="Arial Narrow" w:cstheme="minorHAnsi"/>
        </w:rPr>
        <w:t xml:space="preserve"> a centrales hidráulicas y térmicas, 409.9 MW a centrales eólicas alcanzó los y 289.0 MW a centrales solares.</w:t>
      </w:r>
    </w:p>
    <w:p w14:paraId="2890E826" w14:textId="5A26CC13" w:rsidR="007069E7" w:rsidRPr="004C7185" w:rsidRDefault="007069E7" w:rsidP="001A4937">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A54C2A">
        <w:rPr>
          <w:rFonts w:ascii="Arial Narrow" w:hAnsi="Arial Narrow" w:cstheme="minorHAnsi"/>
        </w:rPr>
        <w:t>Respecto al PMRT, al cierre del 2020 ha alcanzado un avance físico integral del 92.99% en su implementación.</w:t>
      </w:r>
    </w:p>
    <w:p w14:paraId="75141B73" w14:textId="77777777" w:rsidR="003234EF" w:rsidRDefault="003234EF" w:rsidP="003234EF">
      <w:pPr>
        <w:pStyle w:val="Prrafodelista"/>
        <w:pBdr>
          <w:top w:val="nil"/>
          <w:left w:val="nil"/>
          <w:bottom w:val="nil"/>
          <w:right w:val="nil"/>
          <w:between w:val="nil"/>
        </w:pBdr>
        <w:spacing w:after="120" w:line="240" w:lineRule="auto"/>
        <w:ind w:left="1146"/>
        <w:jc w:val="both"/>
        <w:rPr>
          <w:rFonts w:ascii="Arial Narrow" w:hAnsi="Arial Narrow" w:cstheme="minorHAnsi"/>
        </w:rPr>
      </w:pPr>
    </w:p>
    <w:p w14:paraId="30E8E195" w14:textId="786BCEA3" w:rsidR="004C7185" w:rsidRDefault="004C7185" w:rsidP="004C7185">
      <w:pPr>
        <w:pBdr>
          <w:top w:val="nil"/>
          <w:left w:val="nil"/>
          <w:bottom w:val="nil"/>
          <w:right w:val="nil"/>
          <w:between w:val="nil"/>
        </w:pBdr>
        <w:spacing w:after="120" w:line="240" w:lineRule="auto"/>
        <w:ind w:left="426"/>
        <w:jc w:val="both"/>
        <w:rPr>
          <w:rFonts w:ascii="Arial Narrow" w:hAnsi="Arial Narrow" w:cstheme="minorHAnsi"/>
        </w:rPr>
      </w:pPr>
      <w:r w:rsidRPr="004C7185">
        <w:rPr>
          <w:rFonts w:ascii="Arial Narrow" w:hAnsi="Arial Narrow" w:cstheme="minorHAnsi"/>
        </w:rPr>
        <w:t xml:space="preserve">Situación de intervenciones y uso de recursos: </w:t>
      </w:r>
    </w:p>
    <w:p w14:paraId="6F0C3E03" w14:textId="3565890D" w:rsidR="00982B07" w:rsidRDefault="001A4937" w:rsidP="001A4937">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 xml:space="preserve">De acuerdo con el servicio energético </w:t>
      </w:r>
      <w:r w:rsidRPr="004041BC">
        <w:rPr>
          <w:rFonts w:ascii="Arial Narrow" w:hAnsi="Arial Narrow" w:cstheme="minorHAnsi"/>
        </w:rPr>
        <w:t>para el cierre del 2020,</w:t>
      </w:r>
      <w:r>
        <w:rPr>
          <w:rFonts w:ascii="Arial Narrow" w:hAnsi="Arial Narrow" w:cstheme="minorHAnsi"/>
        </w:rPr>
        <w:t xml:space="preserve"> existe</w:t>
      </w:r>
      <w:r w:rsidRPr="004041BC">
        <w:rPr>
          <w:rFonts w:ascii="Arial Narrow" w:hAnsi="Arial Narrow" w:cstheme="minorHAnsi"/>
        </w:rPr>
        <w:t xml:space="preserve"> una participación </w:t>
      </w:r>
      <w:r>
        <w:rPr>
          <w:rFonts w:ascii="Arial Narrow" w:hAnsi="Arial Narrow" w:cstheme="minorHAnsi"/>
        </w:rPr>
        <w:t>del 5.91% de</w:t>
      </w:r>
      <w:r w:rsidRPr="004041BC">
        <w:rPr>
          <w:rFonts w:ascii="Arial Narrow" w:hAnsi="Arial Narrow" w:cstheme="minorHAnsi"/>
        </w:rPr>
        <w:t xml:space="preserve"> la producción de energía eléctrica con centrales de recursos energéticos </w:t>
      </w:r>
      <w:r w:rsidR="007069E7" w:rsidRPr="004041BC">
        <w:rPr>
          <w:rFonts w:ascii="Arial Narrow" w:hAnsi="Arial Narrow" w:cstheme="minorHAnsi"/>
        </w:rPr>
        <w:t>renovable</w:t>
      </w:r>
      <w:r w:rsidR="007069E7">
        <w:rPr>
          <w:rFonts w:ascii="Arial Narrow" w:hAnsi="Arial Narrow" w:cstheme="minorHAnsi"/>
        </w:rPr>
        <w:t xml:space="preserve"> con</w:t>
      </w:r>
      <w:r>
        <w:rPr>
          <w:rFonts w:ascii="Arial Narrow" w:hAnsi="Arial Narrow" w:cstheme="minorHAnsi"/>
        </w:rPr>
        <w:t xml:space="preserve"> lo que se viene avanzando en el abastecimiento energético </w:t>
      </w:r>
      <w:r w:rsidR="007069E7">
        <w:rPr>
          <w:rFonts w:ascii="Arial Narrow" w:hAnsi="Arial Narrow" w:cstheme="minorHAnsi"/>
        </w:rPr>
        <w:t>competitivo. En</w:t>
      </w:r>
      <w:r w:rsidR="00982B07">
        <w:rPr>
          <w:rFonts w:ascii="Arial Narrow" w:hAnsi="Arial Narrow" w:cstheme="minorHAnsi"/>
        </w:rPr>
        <w:t xml:space="preserve"> ese sentido se</w:t>
      </w:r>
      <w:r w:rsidR="00CB2D79">
        <w:rPr>
          <w:rFonts w:ascii="Arial Narrow" w:hAnsi="Arial Narrow" w:cstheme="minorHAnsi"/>
        </w:rPr>
        <w:t xml:space="preserve"> viene </w:t>
      </w:r>
      <w:r w:rsidR="00982B07">
        <w:rPr>
          <w:rFonts w:ascii="Arial Narrow" w:hAnsi="Arial Narrow" w:cstheme="minorHAnsi"/>
        </w:rPr>
        <w:lastRenderedPageBreak/>
        <w:t xml:space="preserve">implementado </w:t>
      </w:r>
      <w:r w:rsidR="00CB2D79">
        <w:rPr>
          <w:rFonts w:ascii="Arial Narrow" w:hAnsi="Arial Narrow" w:cstheme="minorHAnsi"/>
        </w:rPr>
        <w:t>e</w:t>
      </w:r>
      <w:r w:rsidR="00982B07">
        <w:rPr>
          <w:rFonts w:ascii="Arial Narrow" w:hAnsi="Arial Narrow" w:cstheme="minorHAnsi"/>
        </w:rPr>
        <w:t>l acceso universal al servicio de energía eléctrica</w:t>
      </w:r>
      <w:r w:rsidR="00AF0A61">
        <w:rPr>
          <w:rFonts w:ascii="Arial Narrow" w:hAnsi="Arial Narrow" w:cstheme="minorHAnsi"/>
        </w:rPr>
        <w:t xml:space="preserve"> a pesar de la declaración de Estado de Emergencia Nacional.</w:t>
      </w:r>
    </w:p>
    <w:p w14:paraId="26BC620D" w14:textId="671CF3D5" w:rsidR="00A54C2A" w:rsidRPr="00A54C2A" w:rsidRDefault="00A54C2A" w:rsidP="007069E7">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A54C2A">
        <w:rPr>
          <w:rFonts w:ascii="Arial Narrow" w:hAnsi="Arial Narrow" w:cstheme="minorHAnsi"/>
        </w:rPr>
        <w:t>Respecto al cierre de brecha de infraestructura de almacenamiento y transporte se cuenta con el proyecto de mejoras a la seguridad energética del país - Sistema Integrado de Transporte de gas natural (SITG)</w:t>
      </w:r>
      <w:r w:rsidRPr="007069E7">
        <w:rPr>
          <w:rFonts w:ascii="Arial Narrow" w:hAnsi="Arial Narrow" w:cstheme="minorHAnsi"/>
          <w:vertAlign w:val="superscript"/>
        </w:rPr>
        <w:footnoteReference w:id="1"/>
      </w:r>
      <w:r w:rsidRPr="00A54C2A">
        <w:rPr>
          <w:rFonts w:ascii="Arial Narrow" w:hAnsi="Arial Narrow" w:cstheme="minorHAnsi"/>
        </w:rPr>
        <w:t xml:space="preserve"> y proyecto para incrementar la capacidad de almacenamiento de Combustibles, a nivel nacional y así garantizar el abastecimiento de combustibles ante eventos </w:t>
      </w:r>
      <w:r w:rsidR="007069E7" w:rsidRPr="00A54C2A">
        <w:rPr>
          <w:rFonts w:ascii="Arial Narrow" w:hAnsi="Arial Narrow" w:cstheme="minorHAnsi"/>
        </w:rPr>
        <w:t>inesperados.</w:t>
      </w:r>
    </w:p>
    <w:p w14:paraId="3C9D0449" w14:textId="38B08C35" w:rsidR="00982B07" w:rsidRDefault="00CB2D79" w:rsidP="007069E7">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S</w:t>
      </w:r>
      <w:r w:rsidR="00AF0A61">
        <w:rPr>
          <w:rFonts w:ascii="Arial Narrow" w:hAnsi="Arial Narrow" w:cstheme="minorHAnsi"/>
        </w:rPr>
        <w:t xml:space="preserve">e han gastado </w:t>
      </w:r>
      <w:r w:rsidR="00AF0A61" w:rsidRPr="00AF0A61">
        <w:rPr>
          <w:rFonts w:ascii="Arial Narrow" w:hAnsi="Arial Narrow" w:cstheme="minorHAnsi"/>
        </w:rPr>
        <w:t>alrededor S/76’023,063.00 en actividades de generación, transmisión, y distribución</w:t>
      </w:r>
      <w:r>
        <w:rPr>
          <w:rFonts w:ascii="Arial Narrow" w:hAnsi="Arial Narrow" w:cstheme="minorHAnsi"/>
        </w:rPr>
        <w:t xml:space="preserve"> de energía eléctrica.</w:t>
      </w:r>
    </w:p>
    <w:p w14:paraId="67FFA4FE" w14:textId="77777777" w:rsidR="000F644A" w:rsidRDefault="000F644A" w:rsidP="000F644A">
      <w:pPr>
        <w:pStyle w:val="Prrafodelista"/>
        <w:pBdr>
          <w:top w:val="nil"/>
          <w:left w:val="nil"/>
          <w:bottom w:val="nil"/>
          <w:right w:val="nil"/>
          <w:between w:val="nil"/>
        </w:pBdr>
        <w:spacing w:after="120" w:line="240" w:lineRule="auto"/>
        <w:ind w:left="851"/>
        <w:jc w:val="both"/>
        <w:rPr>
          <w:rFonts w:ascii="Arial Narrow" w:hAnsi="Arial Narrow" w:cstheme="minorHAnsi"/>
        </w:rPr>
      </w:pPr>
    </w:p>
    <w:p w14:paraId="668DDF7B" w14:textId="36A39414" w:rsidR="00C7362D" w:rsidRDefault="00C7362D" w:rsidP="00C7362D">
      <w:pPr>
        <w:snapToGrid w:val="0"/>
        <w:spacing w:line="276" w:lineRule="auto"/>
        <w:ind w:left="426"/>
        <w:jc w:val="both"/>
        <w:rPr>
          <w:rFonts w:ascii="Arial Narrow" w:hAnsi="Arial Narrow" w:cstheme="minorHAnsi"/>
          <w:b/>
        </w:rPr>
      </w:pPr>
      <w:r w:rsidRPr="004C52FE">
        <w:rPr>
          <w:rFonts w:ascii="Arial Narrow" w:hAnsi="Arial Narrow" w:cstheme="minorHAnsi"/>
          <w:b/>
        </w:rPr>
        <w:t>OP.0</w:t>
      </w:r>
      <w:r>
        <w:rPr>
          <w:rFonts w:ascii="Arial Narrow" w:hAnsi="Arial Narrow" w:cstheme="minorHAnsi"/>
          <w:b/>
        </w:rPr>
        <w:t>3</w:t>
      </w:r>
      <w:r w:rsidRPr="00C7362D">
        <w:rPr>
          <w:rFonts w:ascii="Arial Narrow" w:hAnsi="Arial Narrow" w:cstheme="minorHAnsi"/>
          <w:b/>
        </w:rPr>
        <w:t>. Acceso universal al suministro energético.</w:t>
      </w:r>
    </w:p>
    <w:p w14:paraId="2FE81750" w14:textId="21931184" w:rsidR="004C7185" w:rsidRDefault="004C7185" w:rsidP="004C7185">
      <w:pPr>
        <w:pBdr>
          <w:top w:val="nil"/>
          <w:left w:val="nil"/>
          <w:bottom w:val="nil"/>
          <w:right w:val="nil"/>
          <w:between w:val="nil"/>
        </w:pBdr>
        <w:spacing w:after="120" w:line="240" w:lineRule="auto"/>
        <w:ind w:left="426"/>
        <w:jc w:val="both"/>
        <w:rPr>
          <w:rFonts w:ascii="Arial Narrow" w:hAnsi="Arial Narrow" w:cstheme="minorHAnsi"/>
        </w:rPr>
      </w:pPr>
      <w:r w:rsidRPr="00B424EF">
        <w:rPr>
          <w:rFonts w:ascii="Arial Narrow" w:hAnsi="Arial Narrow" w:cstheme="minorHAnsi"/>
        </w:rPr>
        <w:t>Avance:</w:t>
      </w:r>
    </w:p>
    <w:p w14:paraId="2213B5FE" w14:textId="62E2A2AB" w:rsidR="00E15054" w:rsidRDefault="00E15054" w:rsidP="004C7185">
      <w:pPr>
        <w:pBdr>
          <w:top w:val="nil"/>
          <w:left w:val="nil"/>
          <w:bottom w:val="nil"/>
          <w:right w:val="nil"/>
          <w:between w:val="nil"/>
        </w:pBdr>
        <w:spacing w:after="120" w:line="240" w:lineRule="auto"/>
        <w:ind w:left="426"/>
        <w:jc w:val="both"/>
        <w:rPr>
          <w:rFonts w:ascii="Arial Narrow" w:hAnsi="Arial Narrow" w:cstheme="minorHAnsi"/>
        </w:rPr>
      </w:pPr>
      <w:r>
        <w:rPr>
          <w:rFonts w:ascii="Arial Narrow" w:hAnsi="Arial Narrow" w:cstheme="minorHAnsi"/>
        </w:rPr>
        <w:t>Al cierre del 2020, respecto al acceso universal de suministro energético se han logrado los siguientes avances:</w:t>
      </w:r>
    </w:p>
    <w:p w14:paraId="04D2AD09" w14:textId="77777777" w:rsidR="00CB2D79" w:rsidRDefault="00CB2D79"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Se viene avanzando desde el 2020 en el desarrollo de programas, de acuerdo con la función del MINEM como administrador del FISE. A fin de incrementar el acceso a energías más eficientes y limpias. Por lo que se han implementado el Programa Masivo con Sistemas Fotovoltaicos, el Programa de Compensación Social y Promoción para el Acceso al GLP, y la Masificación del Gas Natural Residencial (</w:t>
      </w:r>
      <w:proofErr w:type="spellStart"/>
      <w:r>
        <w:rPr>
          <w:rFonts w:ascii="Arial Narrow" w:hAnsi="Arial Narrow" w:cstheme="minorHAnsi"/>
        </w:rPr>
        <w:t>BonoGas</w:t>
      </w:r>
      <w:proofErr w:type="spellEnd"/>
      <w:r>
        <w:rPr>
          <w:rFonts w:ascii="Arial Narrow" w:hAnsi="Arial Narrow" w:cstheme="minorHAnsi"/>
        </w:rPr>
        <w:t xml:space="preserve"> Residencial).</w:t>
      </w:r>
    </w:p>
    <w:p w14:paraId="4F783F1F" w14:textId="1332C8F4" w:rsidR="004C7185" w:rsidRDefault="000F644A"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noProof/>
        </w:rPr>
        <w:drawing>
          <wp:anchor distT="0" distB="0" distL="114300" distR="114300" simplePos="0" relativeHeight="251660288" behindDoc="1" locked="0" layoutInCell="1" allowOverlap="1" wp14:anchorId="1E540705" wp14:editId="448997BD">
            <wp:simplePos x="0" y="0"/>
            <wp:positionH relativeFrom="leftMargin">
              <wp:posOffset>315819</wp:posOffset>
            </wp:positionH>
            <wp:positionV relativeFrom="paragraph">
              <wp:posOffset>12700</wp:posOffset>
            </wp:positionV>
            <wp:extent cx="867064" cy="103439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64" cy="1034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185">
        <w:rPr>
          <w:rFonts w:ascii="Arial Narrow" w:hAnsi="Arial Narrow" w:cstheme="minorHAnsi"/>
        </w:rPr>
        <w:t xml:space="preserve">Al cierre del 2020 se ha implementado </w:t>
      </w:r>
      <w:r w:rsidR="004C7185" w:rsidRPr="004C7185">
        <w:rPr>
          <w:rFonts w:ascii="Arial Narrow" w:hAnsi="Arial Narrow" w:cstheme="minorHAnsi"/>
        </w:rPr>
        <w:t>el Programa</w:t>
      </w:r>
      <w:r w:rsidR="00CB2D79">
        <w:rPr>
          <w:rFonts w:ascii="Arial Narrow" w:hAnsi="Arial Narrow" w:cstheme="minorHAnsi"/>
        </w:rPr>
        <w:t xml:space="preserve"> Presupuestal de Acceso Universal </w:t>
      </w:r>
      <w:r w:rsidR="004C7185" w:rsidRPr="004C7185">
        <w:rPr>
          <w:rFonts w:ascii="Arial Narrow" w:hAnsi="Arial Narrow" w:cstheme="minorHAnsi"/>
        </w:rPr>
        <w:t>de Electrificación Rural, que tiene como fin garantizar a los pobladores el acceso universal al servicio de energía eléctrica, prioritariamente a las localidades rurales, aisladas y zonas de frontera, ubicadas mayormente en los quintiles I y II de índices de pobreza.</w:t>
      </w:r>
    </w:p>
    <w:p w14:paraId="0AD3E3C3" w14:textId="31C84652" w:rsidR="00425A45" w:rsidRPr="00425A45" w:rsidRDefault="00E15054"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 xml:space="preserve">Mediante la </w:t>
      </w:r>
      <w:r w:rsidR="00425A45" w:rsidRPr="00425A45">
        <w:rPr>
          <w:rFonts w:ascii="Arial Narrow" w:hAnsi="Arial Narrow" w:cstheme="minorHAnsi"/>
        </w:rPr>
        <w:t xml:space="preserve">Resolución Ministerial </w:t>
      </w:r>
      <w:proofErr w:type="spellStart"/>
      <w:r w:rsidR="00425A45" w:rsidRPr="00425A45">
        <w:rPr>
          <w:rFonts w:ascii="Arial Narrow" w:hAnsi="Arial Narrow" w:cstheme="minorHAnsi"/>
        </w:rPr>
        <w:t>N°</w:t>
      </w:r>
      <w:proofErr w:type="spellEnd"/>
      <w:r w:rsidR="00425A45" w:rsidRPr="00425A45">
        <w:rPr>
          <w:rFonts w:ascii="Arial Narrow" w:hAnsi="Arial Narrow" w:cstheme="minorHAnsi"/>
        </w:rPr>
        <w:t xml:space="preserve"> 244-2020-MINEM/DM </w:t>
      </w:r>
      <w:r>
        <w:rPr>
          <w:rFonts w:ascii="Arial Narrow" w:hAnsi="Arial Narrow" w:cstheme="minorHAnsi"/>
        </w:rPr>
        <w:t xml:space="preserve">se </w:t>
      </w:r>
      <w:r w:rsidR="00425A45" w:rsidRPr="00425A45">
        <w:rPr>
          <w:rFonts w:ascii="Arial Narrow" w:hAnsi="Arial Narrow" w:cstheme="minorHAnsi"/>
        </w:rPr>
        <w:t>apr</w:t>
      </w:r>
      <w:r>
        <w:rPr>
          <w:rFonts w:ascii="Arial Narrow" w:hAnsi="Arial Narrow" w:cstheme="minorHAnsi"/>
        </w:rPr>
        <w:t>obó</w:t>
      </w:r>
      <w:r w:rsidR="00425A45" w:rsidRPr="00425A45">
        <w:rPr>
          <w:rFonts w:ascii="Arial Narrow" w:hAnsi="Arial Narrow" w:cstheme="minorHAnsi"/>
        </w:rPr>
        <w:t xml:space="preserve"> la propuesta de modificación del Reglamento de la Ley </w:t>
      </w:r>
      <w:proofErr w:type="spellStart"/>
      <w:r w:rsidR="00425A45" w:rsidRPr="00425A45">
        <w:rPr>
          <w:rFonts w:ascii="Arial Narrow" w:hAnsi="Arial Narrow" w:cstheme="minorHAnsi"/>
        </w:rPr>
        <w:t>N°</w:t>
      </w:r>
      <w:proofErr w:type="spellEnd"/>
      <w:r w:rsidR="00425A45" w:rsidRPr="00425A45">
        <w:rPr>
          <w:rFonts w:ascii="Arial Narrow" w:hAnsi="Arial Narrow" w:cstheme="minorHAnsi"/>
        </w:rPr>
        <w:t xml:space="preserve"> 29852, a fin de optimizar la administración del FISE, así como para mejorar sus proyectos y/o programas existentes o diseñar nuevos proyectos en beneficio de más peruanos.</w:t>
      </w:r>
    </w:p>
    <w:p w14:paraId="409EAE91" w14:textId="531A697B" w:rsidR="004C7185" w:rsidRDefault="004C7185" w:rsidP="004C7185">
      <w:pPr>
        <w:pBdr>
          <w:top w:val="nil"/>
          <w:left w:val="nil"/>
          <w:bottom w:val="nil"/>
          <w:right w:val="nil"/>
          <w:between w:val="nil"/>
        </w:pBdr>
        <w:spacing w:after="120" w:line="240" w:lineRule="auto"/>
        <w:ind w:left="426"/>
        <w:jc w:val="both"/>
        <w:rPr>
          <w:rFonts w:ascii="Arial Narrow" w:hAnsi="Arial Narrow" w:cstheme="minorHAnsi"/>
        </w:rPr>
      </w:pPr>
    </w:p>
    <w:p w14:paraId="4D4200CC" w14:textId="5C7B5D9A" w:rsidR="004C7185" w:rsidRDefault="004C7185" w:rsidP="004C7185">
      <w:pPr>
        <w:pBdr>
          <w:top w:val="nil"/>
          <w:left w:val="nil"/>
          <w:bottom w:val="nil"/>
          <w:right w:val="nil"/>
          <w:between w:val="nil"/>
        </w:pBdr>
        <w:spacing w:after="120" w:line="240" w:lineRule="auto"/>
        <w:ind w:left="426"/>
        <w:jc w:val="both"/>
        <w:rPr>
          <w:rFonts w:ascii="Arial Narrow" w:hAnsi="Arial Narrow" w:cstheme="minorHAnsi"/>
        </w:rPr>
      </w:pPr>
      <w:r w:rsidRPr="004C7185">
        <w:rPr>
          <w:rFonts w:ascii="Arial Narrow" w:hAnsi="Arial Narrow" w:cstheme="minorHAnsi"/>
        </w:rPr>
        <w:t xml:space="preserve">Situación de intervenciones y uso de recursos: </w:t>
      </w:r>
    </w:p>
    <w:p w14:paraId="4B53CD3C" w14:textId="77777777" w:rsidR="004E645B" w:rsidRPr="004C7185" w:rsidRDefault="004E645B"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4C7185">
        <w:rPr>
          <w:rFonts w:ascii="Arial Narrow" w:hAnsi="Arial Narrow" w:cstheme="minorHAnsi"/>
        </w:rPr>
        <w:t>Al segundo semestre de 2020, se concluyeron 8 obras de electrificación rural con una inversión total de S/ 99 millones, logrando electrificar a 767 localidades y beneficiando a 99 mil habitantes.</w:t>
      </w:r>
    </w:p>
    <w:p w14:paraId="23BBF5FD" w14:textId="3F2CCD27" w:rsidR="00CB2D79" w:rsidRDefault="00CB2D79"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286D52">
        <w:rPr>
          <w:rFonts w:ascii="Arial Narrow" w:hAnsi="Arial Narrow" w:cstheme="minorHAnsi"/>
        </w:rPr>
        <w:t xml:space="preserve">De acuerdo con el Programa Masivo con Sistemas Fotovoltaicos, al 2020, se han instalado 208,145 mil sistemas fotovoltaicos, </w:t>
      </w:r>
      <w:r w:rsidR="00E15054">
        <w:rPr>
          <w:rFonts w:ascii="Arial Narrow" w:hAnsi="Arial Narrow" w:cstheme="minorHAnsi"/>
        </w:rPr>
        <w:t>beneficiando a</w:t>
      </w:r>
      <w:r w:rsidRPr="00286D52">
        <w:rPr>
          <w:rFonts w:ascii="Arial Narrow" w:hAnsi="Arial Narrow" w:cstheme="minorHAnsi"/>
        </w:rPr>
        <w:t xml:space="preserve"> 205 mil viviendas, 639 puestos de salud y 2,368 instituciones educativas en 1,002 distritos de 175 provincias ubicados en 24 regiones a nivel nacional</w:t>
      </w:r>
      <w:r>
        <w:rPr>
          <w:rFonts w:ascii="Arial Narrow" w:hAnsi="Arial Narrow" w:cstheme="minorHAnsi"/>
        </w:rPr>
        <w:t>.</w:t>
      </w:r>
      <w:r w:rsidRPr="00286D52">
        <w:rPr>
          <w:rFonts w:ascii="Arial Narrow" w:hAnsi="Arial Narrow" w:cstheme="minorHAnsi"/>
        </w:rPr>
        <w:t xml:space="preserve"> </w:t>
      </w:r>
    </w:p>
    <w:p w14:paraId="579CDEA2" w14:textId="77777777" w:rsidR="00A54C2A" w:rsidRPr="00A54C2A" w:rsidRDefault="00A54C2A"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A54C2A">
        <w:rPr>
          <w:rFonts w:ascii="Arial Narrow" w:hAnsi="Arial Narrow" w:cstheme="minorHAnsi"/>
        </w:rPr>
        <w:t xml:space="preserve">Promoción en el uso seguro y eficiente del GLP: En enero de 2020 se aprobó el nuevo procedimiento de entrega de Vales de Descuento FISE a los comedores populares del Programa de Complementación Alimentaria (PCA) e Instituciones Educativas Públicas (IEP) bajo el ámbito del Programa Nacional de Alimentación Escolar (PNAE) </w:t>
      </w:r>
      <w:proofErr w:type="spellStart"/>
      <w:r w:rsidRPr="00A54C2A">
        <w:rPr>
          <w:rFonts w:ascii="Arial Narrow" w:hAnsi="Arial Narrow" w:cstheme="minorHAnsi"/>
        </w:rPr>
        <w:t>Qali</w:t>
      </w:r>
      <w:proofErr w:type="spellEnd"/>
      <w:r w:rsidRPr="00A54C2A">
        <w:rPr>
          <w:rFonts w:ascii="Arial Narrow" w:hAnsi="Arial Narrow" w:cstheme="minorHAnsi"/>
        </w:rPr>
        <w:t xml:space="preserve"> Warma. Los vales emitidos en durante el año 2020, ascienden a 10’287,467</w:t>
      </w:r>
    </w:p>
    <w:p w14:paraId="15F9A5E9" w14:textId="77777777" w:rsidR="00A54C2A" w:rsidRDefault="00A54C2A" w:rsidP="00E15054">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4C7185">
        <w:rPr>
          <w:rFonts w:ascii="Arial Narrow" w:hAnsi="Arial Narrow" w:cstheme="minorHAnsi"/>
        </w:rPr>
        <w:t>En 2020, el Presupuesto Institucional de Apertura (PIA) aprobado para la Dirección General de Electrificación Rural (DGER) fue de S/ 411.6 millones, siendo el Presupuesto Institucional Modificado (PIM) al 31 de diciembre de 2020 de S/ 331.2 millones, siendo la ejecución presupuestal de S/ 160.8 millones, lo que equivale al 48.5% del PIM.</w:t>
      </w:r>
    </w:p>
    <w:p w14:paraId="1FB5FD1D" w14:textId="77777777" w:rsidR="00CB2D79" w:rsidRPr="004C7185" w:rsidRDefault="00CB2D79" w:rsidP="000F644A">
      <w:pPr>
        <w:pStyle w:val="Prrafodelista"/>
        <w:pBdr>
          <w:top w:val="nil"/>
          <w:left w:val="nil"/>
          <w:bottom w:val="nil"/>
          <w:right w:val="nil"/>
          <w:between w:val="nil"/>
        </w:pBdr>
        <w:spacing w:after="120" w:line="240" w:lineRule="auto"/>
        <w:ind w:left="851"/>
        <w:jc w:val="both"/>
        <w:rPr>
          <w:rFonts w:ascii="Arial Narrow" w:hAnsi="Arial Narrow" w:cstheme="minorHAnsi"/>
        </w:rPr>
      </w:pPr>
    </w:p>
    <w:p w14:paraId="76D2C226" w14:textId="08666741" w:rsidR="00C7362D" w:rsidRDefault="00C7362D" w:rsidP="00C7362D">
      <w:pPr>
        <w:snapToGrid w:val="0"/>
        <w:spacing w:line="276" w:lineRule="auto"/>
        <w:ind w:left="426"/>
        <w:jc w:val="both"/>
        <w:rPr>
          <w:rFonts w:ascii="Arial Narrow" w:hAnsi="Arial Narrow" w:cstheme="minorHAnsi"/>
          <w:b/>
        </w:rPr>
      </w:pPr>
      <w:r w:rsidRPr="004C52FE">
        <w:rPr>
          <w:rFonts w:ascii="Arial Narrow" w:hAnsi="Arial Narrow" w:cstheme="minorHAnsi"/>
          <w:b/>
        </w:rPr>
        <w:t>OP.0</w:t>
      </w:r>
      <w:r>
        <w:rPr>
          <w:rFonts w:ascii="Arial Narrow" w:hAnsi="Arial Narrow" w:cstheme="minorHAnsi"/>
          <w:b/>
        </w:rPr>
        <w:t>4</w:t>
      </w:r>
      <w:r w:rsidRPr="00C7362D">
        <w:rPr>
          <w:rFonts w:ascii="Arial Narrow" w:hAnsi="Arial Narrow" w:cstheme="minorHAnsi"/>
          <w:b/>
        </w:rPr>
        <w:t>. Contar con la mayor eficiencia en la cadena productiva y de uso de la energía</w:t>
      </w:r>
    </w:p>
    <w:p w14:paraId="547A587D" w14:textId="644C2D70" w:rsidR="0084450D" w:rsidRDefault="0084450D" w:rsidP="0084450D">
      <w:pPr>
        <w:pBdr>
          <w:top w:val="nil"/>
          <w:left w:val="nil"/>
          <w:bottom w:val="nil"/>
          <w:right w:val="nil"/>
          <w:between w:val="nil"/>
        </w:pBdr>
        <w:spacing w:after="120" w:line="240" w:lineRule="auto"/>
        <w:ind w:left="426"/>
        <w:jc w:val="both"/>
        <w:rPr>
          <w:rFonts w:ascii="Arial Narrow" w:hAnsi="Arial Narrow" w:cstheme="minorHAnsi"/>
        </w:rPr>
      </w:pPr>
      <w:r w:rsidRPr="00B424EF">
        <w:rPr>
          <w:rFonts w:ascii="Arial Narrow" w:hAnsi="Arial Narrow" w:cstheme="minorHAnsi"/>
        </w:rPr>
        <w:t>Avance</w:t>
      </w:r>
      <w:r w:rsidR="00E15054">
        <w:rPr>
          <w:rFonts w:ascii="Arial Narrow" w:hAnsi="Arial Narrow" w:cstheme="minorHAnsi"/>
        </w:rPr>
        <w:t>:</w:t>
      </w:r>
    </w:p>
    <w:p w14:paraId="6C270E22" w14:textId="07C502CC" w:rsidR="00E15054" w:rsidRDefault="00E15054" w:rsidP="00E15054">
      <w:pPr>
        <w:pBdr>
          <w:top w:val="nil"/>
          <w:left w:val="nil"/>
          <w:bottom w:val="nil"/>
          <w:right w:val="nil"/>
          <w:between w:val="nil"/>
        </w:pBdr>
        <w:spacing w:after="120" w:line="240" w:lineRule="auto"/>
        <w:ind w:left="426"/>
        <w:jc w:val="both"/>
        <w:rPr>
          <w:rFonts w:ascii="Arial Narrow" w:hAnsi="Arial Narrow" w:cstheme="minorHAnsi"/>
        </w:rPr>
      </w:pPr>
      <w:r>
        <w:rPr>
          <w:rFonts w:ascii="Arial Narrow" w:hAnsi="Arial Narrow" w:cstheme="minorHAnsi"/>
        </w:rPr>
        <w:lastRenderedPageBreak/>
        <w:t xml:space="preserve">Respecto a </w:t>
      </w:r>
      <w:r w:rsidR="000059DF">
        <w:rPr>
          <w:rFonts w:ascii="Arial Narrow" w:hAnsi="Arial Narrow" w:cstheme="minorHAnsi"/>
        </w:rPr>
        <w:t xml:space="preserve">lograr una mayor eficiencia en la cadena productiva y uso de energía, al 2020 se tienen los </w:t>
      </w:r>
      <w:r>
        <w:rPr>
          <w:rFonts w:ascii="Arial Narrow" w:hAnsi="Arial Narrow" w:cstheme="minorHAnsi"/>
        </w:rPr>
        <w:t>siguientes avances:</w:t>
      </w:r>
    </w:p>
    <w:p w14:paraId="125D0583" w14:textId="0C43161F" w:rsidR="00936CF8" w:rsidRPr="00D90168" w:rsidRDefault="00936CF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 xml:space="preserve">En el segundo semestre de 2020, se aprobó el Decreto Supremo </w:t>
      </w:r>
      <w:proofErr w:type="spellStart"/>
      <w:r w:rsidRPr="00D90168">
        <w:rPr>
          <w:rFonts w:ascii="Arial Narrow" w:hAnsi="Arial Narrow" w:cstheme="minorHAnsi"/>
        </w:rPr>
        <w:t>N°</w:t>
      </w:r>
      <w:proofErr w:type="spellEnd"/>
      <w:r w:rsidRPr="00D90168">
        <w:rPr>
          <w:rFonts w:ascii="Arial Narrow" w:hAnsi="Arial Narrow" w:cstheme="minorHAnsi"/>
        </w:rPr>
        <w:t xml:space="preserve"> 022-2020-EM, </w:t>
      </w:r>
      <w:r w:rsidR="000059DF">
        <w:rPr>
          <w:rFonts w:ascii="Arial Narrow" w:hAnsi="Arial Narrow" w:cstheme="minorHAnsi"/>
        </w:rPr>
        <w:t>que permitió dar</w:t>
      </w:r>
      <w:r w:rsidRPr="00D90168">
        <w:rPr>
          <w:rFonts w:ascii="Arial Narrow" w:hAnsi="Arial Narrow" w:cstheme="minorHAnsi"/>
        </w:rPr>
        <w:t xml:space="preserve"> disposiciones sobre la infraestructura de carga y abastecimiento de energía eléctrica para la movilidad eléctrica, con la finalidad de hacer uso eficiente de la energía y coadyuvar a reducir el consumo de combustible fósil, disminuir la emisión de gases de efecto invernadero y otros contaminantes, y dar cumplimiento de los compromisos internacionales en materia ambiental ratificados por el Perú, así como reducir daños en la salud pública.</w:t>
      </w:r>
    </w:p>
    <w:p w14:paraId="15A91EE0" w14:textId="0271C437" w:rsidR="00936CF8" w:rsidRDefault="00936CF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 xml:space="preserve">Mediante Resolución Directoral </w:t>
      </w:r>
      <w:proofErr w:type="spellStart"/>
      <w:r w:rsidRPr="00D90168">
        <w:rPr>
          <w:rFonts w:ascii="Arial Narrow" w:hAnsi="Arial Narrow" w:cstheme="minorHAnsi"/>
        </w:rPr>
        <w:t>N°</w:t>
      </w:r>
      <w:proofErr w:type="spellEnd"/>
      <w:r w:rsidRPr="00D90168">
        <w:rPr>
          <w:rFonts w:ascii="Arial Narrow" w:hAnsi="Arial Narrow" w:cstheme="minorHAnsi"/>
        </w:rPr>
        <w:t xml:space="preserve"> 001-2020-MINEM/DGEE, publicado en el diario oficial El Peruano el 29 de enero de 2020, se aprobó el listado de Organismos de Certificación de Productos acreditados con el Reglamento Técnico sobre el Etiquetado de Eficiencia Energética para equipos Energéticos aprobado por Decreto Supremo </w:t>
      </w:r>
      <w:proofErr w:type="spellStart"/>
      <w:r w:rsidRPr="00D90168">
        <w:rPr>
          <w:rFonts w:ascii="Arial Narrow" w:hAnsi="Arial Narrow" w:cstheme="minorHAnsi"/>
        </w:rPr>
        <w:t>N°</w:t>
      </w:r>
      <w:proofErr w:type="spellEnd"/>
      <w:r w:rsidRPr="00D90168">
        <w:rPr>
          <w:rFonts w:ascii="Arial Narrow" w:hAnsi="Arial Narrow" w:cstheme="minorHAnsi"/>
        </w:rPr>
        <w:t xml:space="preserve"> 009-2017-EM</w:t>
      </w:r>
      <w:r w:rsidR="003E3943">
        <w:rPr>
          <w:rFonts w:ascii="Arial Narrow" w:hAnsi="Arial Narrow" w:cstheme="minorHAnsi"/>
        </w:rPr>
        <w:t>.</w:t>
      </w:r>
    </w:p>
    <w:p w14:paraId="6181271A" w14:textId="77777777" w:rsidR="003E3943" w:rsidRDefault="003E3943" w:rsidP="003E3943">
      <w:pPr>
        <w:pStyle w:val="Prrafodelista"/>
        <w:pBdr>
          <w:top w:val="nil"/>
          <w:left w:val="nil"/>
          <w:bottom w:val="nil"/>
          <w:right w:val="nil"/>
          <w:between w:val="nil"/>
        </w:pBdr>
        <w:spacing w:after="120" w:line="240" w:lineRule="auto"/>
        <w:ind w:left="851"/>
        <w:jc w:val="both"/>
        <w:rPr>
          <w:rFonts w:ascii="Arial Narrow" w:hAnsi="Arial Narrow" w:cstheme="minorHAnsi"/>
        </w:rPr>
      </w:pPr>
    </w:p>
    <w:p w14:paraId="5B93E9BA" w14:textId="32C60856" w:rsidR="0084450D" w:rsidRDefault="0084450D" w:rsidP="00C7362D">
      <w:pPr>
        <w:snapToGrid w:val="0"/>
        <w:spacing w:line="276" w:lineRule="auto"/>
        <w:ind w:left="426"/>
        <w:jc w:val="both"/>
        <w:rPr>
          <w:rFonts w:ascii="Arial Narrow" w:hAnsi="Arial Narrow" w:cstheme="minorHAnsi"/>
        </w:rPr>
      </w:pPr>
      <w:r w:rsidRPr="004C7185">
        <w:rPr>
          <w:rFonts w:ascii="Arial Narrow" w:hAnsi="Arial Narrow" w:cstheme="minorHAnsi"/>
        </w:rPr>
        <w:t>Situación de intervenciones y uso de recursos:</w:t>
      </w:r>
    </w:p>
    <w:p w14:paraId="60FA9DBE" w14:textId="0B5D7C68" w:rsidR="0084450D" w:rsidRDefault="0084450D" w:rsidP="00C7362D">
      <w:pPr>
        <w:snapToGrid w:val="0"/>
        <w:spacing w:line="276" w:lineRule="auto"/>
        <w:ind w:left="426"/>
        <w:jc w:val="both"/>
        <w:rPr>
          <w:rFonts w:ascii="Arial Narrow" w:hAnsi="Arial Narrow" w:cstheme="minorHAnsi"/>
        </w:rPr>
      </w:pPr>
      <w:r>
        <w:rPr>
          <w:rFonts w:ascii="Arial Narrow" w:hAnsi="Arial Narrow" w:cstheme="minorHAnsi"/>
        </w:rPr>
        <w:t>Al 2020, se realizaron intervenciones como:</w:t>
      </w:r>
    </w:p>
    <w:p w14:paraId="6A4A6DC3" w14:textId="10E8CED1" w:rsidR="0084450D" w:rsidRDefault="000F644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noProof/>
        </w:rPr>
        <w:drawing>
          <wp:anchor distT="0" distB="0" distL="114300" distR="114300" simplePos="0" relativeHeight="251662336" behindDoc="1" locked="0" layoutInCell="1" allowOverlap="1" wp14:anchorId="23DA62C5" wp14:editId="1539C385">
            <wp:simplePos x="0" y="0"/>
            <wp:positionH relativeFrom="leftMargin">
              <wp:posOffset>411395</wp:posOffset>
            </wp:positionH>
            <wp:positionV relativeFrom="paragraph">
              <wp:posOffset>377171</wp:posOffset>
            </wp:positionV>
            <wp:extent cx="867064" cy="103439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64" cy="1034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50D">
        <w:rPr>
          <w:rFonts w:ascii="Arial Narrow" w:hAnsi="Arial Narrow" w:cstheme="minorHAnsi"/>
        </w:rPr>
        <w:t>Lograr</w:t>
      </w:r>
      <w:r w:rsidR="0084450D" w:rsidRPr="0084450D">
        <w:rPr>
          <w:rFonts w:ascii="Arial Narrow" w:hAnsi="Arial Narrow" w:cstheme="minorHAnsi"/>
        </w:rPr>
        <w:t xml:space="preserve"> informar y sensibilizar a 11,935 personas en diferentes eventos virtuales y eventos demostrativos realizados con el módulo interactivo “Foco Gigante y Casita Comparadora”, “Día Nacional del Ahorro de la Energía”, “Día Mundial de la Eficiencia Energética”, entre otras actividades. </w:t>
      </w:r>
    </w:p>
    <w:p w14:paraId="1D35229E" w14:textId="21672DA2" w:rsidR="0084450D" w:rsidRDefault="0084450D"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84450D">
        <w:rPr>
          <w:rFonts w:ascii="Arial Narrow" w:hAnsi="Arial Narrow" w:cstheme="minorHAnsi"/>
        </w:rPr>
        <w:t xml:space="preserve">Con apoyo del Proyecto NAMA de Energía, </w:t>
      </w:r>
      <w:r>
        <w:rPr>
          <w:rFonts w:ascii="Arial Narrow" w:hAnsi="Arial Narrow" w:cstheme="minorHAnsi"/>
        </w:rPr>
        <w:t>concluir</w:t>
      </w:r>
      <w:r w:rsidRPr="0084450D">
        <w:rPr>
          <w:rFonts w:ascii="Arial Narrow" w:hAnsi="Arial Narrow" w:cstheme="minorHAnsi"/>
        </w:rPr>
        <w:t xml:space="preserve"> con la plataforma del Sello de Energía Sostenible con el fin de promover una mayor participación de entidades públicas y privadas en las medidas de Eficiencia Energética que viene desarrollando la DGEE y en el marco de la NDC; asimismo, con el desarrollo de una APP móvil de la calculadora energética para evaluar el consumo energético de usuarios residenciales y no-residenciales, además que permite comparar entre equipos nuevos y antiguos sobre el consumo energético, ahorros energéticos, reducciones de emisiones y ahorros económicos.</w:t>
      </w:r>
    </w:p>
    <w:p w14:paraId="720C3B93" w14:textId="77777777" w:rsidR="00A54C2A" w:rsidRPr="00A54C2A" w:rsidRDefault="00A54C2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A54C2A">
        <w:rPr>
          <w:rFonts w:ascii="Arial Narrow" w:hAnsi="Arial Narrow" w:cstheme="minorHAnsi"/>
        </w:rPr>
        <w:t>La inversión ejecutada en el sector hidrocarburos, durante el año 2020, ascendió a USD 1,515 millones, la misma que fue destinada para actividades de exploración, explotación, procesamiento, distribución, almacenamiento y refinación de Combustibles, a nivel nacional.</w:t>
      </w:r>
    </w:p>
    <w:p w14:paraId="49856309" w14:textId="77777777" w:rsidR="0084450D" w:rsidRPr="0084450D" w:rsidRDefault="0084450D" w:rsidP="00D90168">
      <w:pPr>
        <w:pStyle w:val="Prrafodelista"/>
        <w:spacing w:after="0" w:line="276" w:lineRule="auto"/>
        <w:ind w:left="1177"/>
        <w:jc w:val="both"/>
        <w:rPr>
          <w:rFonts w:ascii="Arial Narrow" w:hAnsi="Arial Narrow" w:cstheme="minorHAnsi"/>
        </w:rPr>
      </w:pPr>
    </w:p>
    <w:p w14:paraId="0E6F1E73" w14:textId="60AC7E23" w:rsidR="00C7362D" w:rsidRDefault="00C7362D" w:rsidP="00C7362D">
      <w:pPr>
        <w:snapToGrid w:val="0"/>
        <w:spacing w:line="276" w:lineRule="auto"/>
        <w:ind w:left="426"/>
        <w:jc w:val="both"/>
        <w:rPr>
          <w:rFonts w:ascii="Arial Narrow" w:hAnsi="Arial Narrow" w:cstheme="minorHAnsi"/>
          <w:b/>
        </w:rPr>
      </w:pPr>
      <w:r w:rsidRPr="004C52FE">
        <w:rPr>
          <w:rFonts w:ascii="Arial Narrow" w:hAnsi="Arial Narrow" w:cstheme="minorHAnsi"/>
          <w:b/>
        </w:rPr>
        <w:t>OP.0</w:t>
      </w:r>
      <w:r w:rsidR="007F70E1">
        <w:rPr>
          <w:rFonts w:ascii="Arial Narrow" w:hAnsi="Arial Narrow" w:cstheme="minorHAnsi"/>
          <w:b/>
        </w:rPr>
        <w:t>6</w:t>
      </w:r>
      <w:r w:rsidRPr="00C7362D">
        <w:rPr>
          <w:rFonts w:ascii="Arial Narrow" w:hAnsi="Arial Narrow" w:cstheme="minorHAnsi"/>
          <w:b/>
        </w:rPr>
        <w:t>. Desarrollar un sector energético con mínimo impacto ambiental y bajas emisiones de carbono en un marco de Desarrollo Sostenible.</w:t>
      </w:r>
    </w:p>
    <w:p w14:paraId="0F8EBAE0" w14:textId="343829FC" w:rsidR="00D90168" w:rsidRDefault="00D90168" w:rsidP="00D90168">
      <w:pPr>
        <w:pBdr>
          <w:top w:val="nil"/>
          <w:left w:val="nil"/>
          <w:bottom w:val="nil"/>
          <w:right w:val="nil"/>
          <w:between w:val="nil"/>
        </w:pBdr>
        <w:spacing w:after="120" w:line="240" w:lineRule="auto"/>
        <w:ind w:left="426"/>
        <w:jc w:val="both"/>
        <w:rPr>
          <w:rFonts w:ascii="Arial Narrow" w:hAnsi="Arial Narrow" w:cstheme="minorHAnsi"/>
        </w:rPr>
      </w:pPr>
      <w:r w:rsidRPr="00B424EF">
        <w:rPr>
          <w:rFonts w:ascii="Arial Narrow" w:hAnsi="Arial Narrow" w:cstheme="minorHAnsi"/>
        </w:rPr>
        <w:t>Avance:</w:t>
      </w:r>
    </w:p>
    <w:p w14:paraId="6817B6DF" w14:textId="7E4E8D46" w:rsidR="00D90168" w:rsidRDefault="00D9016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 xml:space="preserve">Con el objetivo de salvaguardar la calidad del aire y la salud pública se ha regulado el contenido de azufre en las gasolinas, </w:t>
      </w:r>
      <w:proofErr w:type="spellStart"/>
      <w:r w:rsidRPr="00D90168">
        <w:rPr>
          <w:rFonts w:ascii="Arial Narrow" w:hAnsi="Arial Narrow" w:cstheme="minorHAnsi"/>
        </w:rPr>
        <w:t>gasoholes</w:t>
      </w:r>
      <w:proofErr w:type="spellEnd"/>
      <w:r w:rsidRPr="00D90168">
        <w:rPr>
          <w:rFonts w:ascii="Arial Narrow" w:hAnsi="Arial Narrow" w:cstheme="minorHAnsi"/>
        </w:rPr>
        <w:t xml:space="preserve"> y Diesel. Para ello se ha establecido la obligación, a nivel nacional, de comercializar y usar gasolinas de alto octanaje (95, 97 y 98 octanos) con un contenido de azufre no mayor a 50 ppm  y diésel con un contenido de azufre no mayor a 50 ppm en los departamentos de Lima, Arequipa, Cusco, Puno, Madre de Dios, Junín, Tacna, Moquegua, Ancash, Apurímac, Ayacucho, Cajamarca, Huánuco, Huancavelica, Ica, Lambayeque, La Libertad, Pasco y la Provincia Constitucional del Callao, la que representa en el caso del Diesel, aproximadamente el 84% de la demanda nacional.</w:t>
      </w:r>
    </w:p>
    <w:p w14:paraId="4CA7EF19" w14:textId="77777777" w:rsidR="00936CF8" w:rsidRPr="00D90168" w:rsidRDefault="00936CF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En esa misma línea, resulta necesario hacer extensiva la evaluación de la obligación de usar y comercializar Diesel B5 con un contenido máximo de azufre de 50 ppm en aquellos departamentos en los que aún no se cuenta con dicha obligación y establecer el horizonte en referencia al contenido de azufre en los combustibles.</w:t>
      </w:r>
    </w:p>
    <w:p w14:paraId="69AF6CF4" w14:textId="77777777" w:rsidR="00D90168" w:rsidRDefault="00D90168" w:rsidP="00D90168">
      <w:pPr>
        <w:pBdr>
          <w:top w:val="nil"/>
          <w:left w:val="nil"/>
          <w:bottom w:val="nil"/>
          <w:right w:val="nil"/>
          <w:between w:val="nil"/>
        </w:pBdr>
        <w:spacing w:after="120" w:line="240" w:lineRule="auto"/>
        <w:ind w:left="426"/>
        <w:jc w:val="both"/>
        <w:rPr>
          <w:rFonts w:ascii="Arial Narrow" w:hAnsi="Arial Narrow" w:cstheme="minorHAnsi"/>
        </w:rPr>
      </w:pPr>
    </w:p>
    <w:p w14:paraId="37E04A90" w14:textId="77777777" w:rsidR="00D90168" w:rsidRDefault="00D90168" w:rsidP="00D90168">
      <w:pPr>
        <w:snapToGrid w:val="0"/>
        <w:spacing w:line="276" w:lineRule="auto"/>
        <w:ind w:left="426"/>
        <w:jc w:val="both"/>
        <w:rPr>
          <w:rFonts w:ascii="Arial Narrow" w:hAnsi="Arial Narrow" w:cstheme="minorHAnsi"/>
        </w:rPr>
      </w:pPr>
      <w:r w:rsidRPr="004C7185">
        <w:rPr>
          <w:rFonts w:ascii="Arial Narrow" w:hAnsi="Arial Narrow" w:cstheme="minorHAnsi"/>
        </w:rPr>
        <w:t>Situación de intervenciones y uso de recursos:</w:t>
      </w:r>
    </w:p>
    <w:p w14:paraId="700ABD9D" w14:textId="633AD2D0" w:rsidR="00936CF8" w:rsidRPr="000059DF" w:rsidRDefault="00A54C2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lastRenderedPageBreak/>
        <w:t>Al 2020, l</w:t>
      </w:r>
      <w:r w:rsidR="00936CF8" w:rsidRPr="00936CF8">
        <w:rPr>
          <w:rFonts w:ascii="Arial Narrow" w:hAnsi="Arial Narrow" w:cstheme="minorHAnsi"/>
        </w:rPr>
        <w:t xml:space="preserve">a Dirección General de Asuntos Ambientales Mineros </w:t>
      </w:r>
      <w:r>
        <w:rPr>
          <w:rFonts w:ascii="Arial Narrow" w:hAnsi="Arial Narrow" w:cstheme="minorHAnsi"/>
        </w:rPr>
        <w:t>r</w:t>
      </w:r>
      <w:r w:rsidR="00936CF8" w:rsidRPr="00936CF8">
        <w:rPr>
          <w:rFonts w:ascii="Arial Narrow" w:hAnsi="Arial Narrow" w:cstheme="minorHAnsi"/>
        </w:rPr>
        <w:t>esolvió 125 IGA, además, realizó 219 evaluaciones que resultaron en informes de evaluación notificación a los titulares mineros vía Auto Directoral.</w:t>
      </w:r>
    </w:p>
    <w:p w14:paraId="11551150" w14:textId="3BB10ECE" w:rsidR="00A54C2A" w:rsidRPr="00A54C2A" w:rsidRDefault="00A54C2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La Dirección General de Asuntos Ambientales de Electricidad d</w:t>
      </w:r>
      <w:r w:rsidRPr="00A54C2A">
        <w:rPr>
          <w:rFonts w:ascii="Arial Narrow" w:hAnsi="Arial Narrow" w:cstheme="minorHAnsi"/>
        </w:rPr>
        <w:t>urante el año 2020 se han evaluado 199 instrumentos de gestión ambiental, lo cual significa en medida de IGA resueltos, el 34%.</w:t>
      </w:r>
    </w:p>
    <w:p w14:paraId="62B6547F" w14:textId="1EBEEF0B" w:rsidR="00A54C2A" w:rsidRPr="00A54C2A" w:rsidRDefault="00A54C2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A54C2A">
        <w:rPr>
          <w:rFonts w:ascii="Arial Narrow" w:hAnsi="Arial Narrow" w:cstheme="minorHAnsi"/>
        </w:rPr>
        <w:t>La Dirección General de Asuntos Ambientales de Hidrocarburos ha evaluado 353 instrumentos de gestión ambiental que han resultado en resoluciones directorales</w:t>
      </w:r>
      <w:r>
        <w:rPr>
          <w:rFonts w:ascii="Arial Narrow" w:hAnsi="Arial Narrow" w:cstheme="minorHAnsi"/>
        </w:rPr>
        <w:t>, equivalente al 100.86% de lo programado</w:t>
      </w:r>
      <w:r w:rsidRPr="00A54C2A">
        <w:rPr>
          <w:rFonts w:ascii="Arial Narrow" w:hAnsi="Arial Narrow" w:cstheme="minorHAnsi"/>
        </w:rPr>
        <w:t>.</w:t>
      </w:r>
    </w:p>
    <w:p w14:paraId="6D05557B" w14:textId="1DE52A60" w:rsidR="00D90168" w:rsidRDefault="00D90168" w:rsidP="00936CF8">
      <w:pPr>
        <w:tabs>
          <w:tab w:val="left" w:pos="1910"/>
        </w:tabs>
        <w:snapToGrid w:val="0"/>
        <w:spacing w:line="276" w:lineRule="auto"/>
        <w:ind w:left="426"/>
        <w:jc w:val="both"/>
        <w:rPr>
          <w:rFonts w:ascii="Arial Narrow" w:hAnsi="Arial Narrow" w:cstheme="minorHAnsi"/>
          <w:b/>
        </w:rPr>
      </w:pPr>
    </w:p>
    <w:p w14:paraId="57EFD1F5" w14:textId="64746B57" w:rsidR="00C7362D" w:rsidRPr="00C7362D" w:rsidRDefault="00C7362D" w:rsidP="00C7362D">
      <w:pPr>
        <w:snapToGrid w:val="0"/>
        <w:spacing w:line="276" w:lineRule="auto"/>
        <w:ind w:left="426"/>
        <w:jc w:val="both"/>
        <w:rPr>
          <w:rFonts w:ascii="Arial Narrow" w:hAnsi="Arial Narrow" w:cstheme="minorHAnsi"/>
          <w:b/>
        </w:rPr>
      </w:pPr>
      <w:r w:rsidRPr="004C52FE">
        <w:rPr>
          <w:rFonts w:ascii="Arial Narrow" w:hAnsi="Arial Narrow" w:cstheme="minorHAnsi"/>
          <w:b/>
        </w:rPr>
        <w:t>OP.0</w:t>
      </w:r>
      <w:r w:rsidR="007F70E1">
        <w:rPr>
          <w:rFonts w:ascii="Arial Narrow" w:hAnsi="Arial Narrow" w:cstheme="minorHAnsi"/>
          <w:b/>
        </w:rPr>
        <w:t>7</w:t>
      </w:r>
      <w:r w:rsidRPr="00C7362D">
        <w:rPr>
          <w:rFonts w:ascii="Arial Narrow" w:hAnsi="Arial Narrow" w:cstheme="minorHAnsi"/>
          <w:b/>
        </w:rPr>
        <w:t>. Desarrollar la industria del gas natural, y su uso en actividades domiciliarias, transporte, comercio e industria, así como la generación eléctrica eficiente.</w:t>
      </w:r>
    </w:p>
    <w:p w14:paraId="7B8902F7" w14:textId="79B7D2E2" w:rsidR="00D90168" w:rsidRDefault="00D90168" w:rsidP="00D90168">
      <w:pPr>
        <w:pBdr>
          <w:top w:val="nil"/>
          <w:left w:val="nil"/>
          <w:bottom w:val="nil"/>
          <w:right w:val="nil"/>
          <w:between w:val="nil"/>
        </w:pBdr>
        <w:spacing w:after="120" w:line="240" w:lineRule="auto"/>
        <w:ind w:left="426"/>
        <w:jc w:val="both"/>
        <w:rPr>
          <w:rFonts w:ascii="Arial Narrow" w:hAnsi="Arial Narrow" w:cstheme="minorHAnsi"/>
        </w:rPr>
      </w:pPr>
      <w:r w:rsidRPr="00B424EF">
        <w:rPr>
          <w:rFonts w:ascii="Arial Narrow" w:hAnsi="Arial Narrow" w:cstheme="minorHAnsi"/>
        </w:rPr>
        <w:t>Avance:</w:t>
      </w:r>
    </w:p>
    <w:p w14:paraId="63F59B27" w14:textId="77777777" w:rsidR="00D90168" w:rsidRPr="00D90168" w:rsidRDefault="00D9016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 xml:space="preserve">En torno al subsector hidrocarburos, al cierre del año 2020 se cuenta con 1’227,980 usuarios residencial cuyo combustible es el gas natural, a nivel nacional. </w:t>
      </w:r>
    </w:p>
    <w:p w14:paraId="604E0E6B" w14:textId="169E25CC" w:rsidR="00D90168" w:rsidRDefault="00D9016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 xml:space="preserve">Se cuenta con 7’162,461 usuarios residenciales cuyo combustible es el GLP, a nivel nacional. </w:t>
      </w:r>
    </w:p>
    <w:p w14:paraId="08557EF9" w14:textId="32C40DF4" w:rsidR="00D90168" w:rsidRPr="00D90168" w:rsidRDefault="000F644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noProof/>
        </w:rPr>
        <w:drawing>
          <wp:anchor distT="0" distB="0" distL="114300" distR="114300" simplePos="0" relativeHeight="251664384" behindDoc="1" locked="0" layoutInCell="1" allowOverlap="1" wp14:anchorId="5F9D4336" wp14:editId="132660FC">
            <wp:simplePos x="0" y="0"/>
            <wp:positionH relativeFrom="leftMargin">
              <wp:posOffset>233974</wp:posOffset>
            </wp:positionH>
            <wp:positionV relativeFrom="paragraph">
              <wp:posOffset>550839</wp:posOffset>
            </wp:positionV>
            <wp:extent cx="867064" cy="103439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64" cy="1034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168" w:rsidRPr="00D90168">
        <w:rPr>
          <w:rFonts w:ascii="Arial Narrow" w:hAnsi="Arial Narrow" w:cstheme="minorHAnsi"/>
        </w:rPr>
        <w:t>Al cierre del año 2020, se registró el ingreso adicional de 34,034 beneficiarios al programa de acceso y promoción del GLP. Los vales emitidos en durante el año 2020, ascienden a 10’287,467, teniéndose una tasa de canje del 81%. El promedio mensual de beneficiarios del vale de descuento fue de 857,289 en los que se encuentran viviendas y comedores populares.</w:t>
      </w:r>
    </w:p>
    <w:p w14:paraId="52F4CE21" w14:textId="20DB17F3" w:rsidR="00D90168" w:rsidRDefault="00D9016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Durante el año 2020, se ha beneficiado con el servicio de gas natural residencial a 86,234 hogares en Lima, Callao e Ica. Asimismo, la Masificación del uso del gas natural mediante el Programa de Promoción de Vehículos a Gas Natural Vehicular (</w:t>
      </w:r>
      <w:proofErr w:type="spellStart"/>
      <w:r w:rsidRPr="00D90168">
        <w:rPr>
          <w:rFonts w:ascii="Arial Narrow" w:hAnsi="Arial Narrow" w:cstheme="minorHAnsi"/>
        </w:rPr>
        <w:t>BonoGas</w:t>
      </w:r>
      <w:proofErr w:type="spellEnd"/>
      <w:r w:rsidRPr="00D90168">
        <w:rPr>
          <w:rFonts w:ascii="Arial Narrow" w:hAnsi="Arial Narrow" w:cstheme="minorHAnsi"/>
        </w:rPr>
        <w:t xml:space="preserve"> Vehicular) ha permitido realizar 3,033 conversiones vehiculares.</w:t>
      </w:r>
    </w:p>
    <w:p w14:paraId="7C0FED1E" w14:textId="77777777" w:rsidR="00425A45" w:rsidRPr="00425A45" w:rsidRDefault="00425A45"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425A45">
        <w:rPr>
          <w:rFonts w:ascii="Arial Narrow" w:hAnsi="Arial Narrow" w:cstheme="minorHAnsi"/>
        </w:rPr>
        <w:t xml:space="preserve">Mediante Resolución Ministerial </w:t>
      </w:r>
      <w:proofErr w:type="spellStart"/>
      <w:r w:rsidRPr="00425A45">
        <w:rPr>
          <w:rFonts w:ascii="Arial Narrow" w:hAnsi="Arial Narrow" w:cstheme="minorHAnsi"/>
        </w:rPr>
        <w:t>N°</w:t>
      </w:r>
      <w:proofErr w:type="spellEnd"/>
      <w:r w:rsidRPr="00425A45">
        <w:rPr>
          <w:rFonts w:ascii="Arial Narrow" w:hAnsi="Arial Narrow" w:cstheme="minorHAnsi"/>
        </w:rPr>
        <w:t xml:space="preserve"> 305-2020-MINEM-DM, publicada en el Diario Oficial El Peruano el 05 de octubre de 2020, se autorizó la publicación del Proyecto de Decreto Supremo que aprueba la modificación de disposiciones contenidas en el Reglamento de Distribución de Gas Natural por Red de Ductos, aprobado por Decreto Supremo </w:t>
      </w:r>
      <w:proofErr w:type="spellStart"/>
      <w:r w:rsidRPr="00425A45">
        <w:rPr>
          <w:rFonts w:ascii="Arial Narrow" w:hAnsi="Arial Narrow" w:cstheme="minorHAnsi"/>
        </w:rPr>
        <w:t>Nº</w:t>
      </w:r>
      <w:proofErr w:type="spellEnd"/>
      <w:r w:rsidRPr="00425A45">
        <w:rPr>
          <w:rFonts w:ascii="Arial Narrow" w:hAnsi="Arial Narrow" w:cstheme="minorHAnsi"/>
        </w:rPr>
        <w:t xml:space="preserve"> 042-99-EM.</w:t>
      </w:r>
    </w:p>
    <w:p w14:paraId="4C1CCF9C" w14:textId="77777777" w:rsidR="00D90168" w:rsidRPr="00D90168" w:rsidRDefault="00D90168" w:rsidP="00425A45">
      <w:pPr>
        <w:pStyle w:val="Prrafodelista"/>
        <w:spacing w:after="0" w:line="276" w:lineRule="auto"/>
        <w:ind w:left="1177"/>
        <w:jc w:val="both"/>
        <w:rPr>
          <w:rFonts w:ascii="Arial Narrow" w:hAnsi="Arial Narrow" w:cstheme="minorHAnsi"/>
        </w:rPr>
      </w:pPr>
    </w:p>
    <w:p w14:paraId="5243C127" w14:textId="77777777" w:rsidR="00D90168" w:rsidRDefault="00D90168" w:rsidP="00D90168">
      <w:pPr>
        <w:snapToGrid w:val="0"/>
        <w:spacing w:line="276" w:lineRule="auto"/>
        <w:ind w:left="426"/>
        <w:jc w:val="both"/>
        <w:rPr>
          <w:rFonts w:ascii="Arial Narrow" w:hAnsi="Arial Narrow" w:cstheme="minorHAnsi"/>
        </w:rPr>
      </w:pPr>
      <w:r w:rsidRPr="004C7185">
        <w:rPr>
          <w:rFonts w:ascii="Arial Narrow" w:hAnsi="Arial Narrow" w:cstheme="minorHAnsi"/>
        </w:rPr>
        <w:t>Situación de intervenciones y uso de recursos:</w:t>
      </w:r>
    </w:p>
    <w:p w14:paraId="67B91AE1" w14:textId="77777777" w:rsidR="00D90168" w:rsidRDefault="00D90168"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sidRPr="00D90168">
        <w:rPr>
          <w:rFonts w:ascii="Arial Narrow" w:hAnsi="Arial Narrow" w:cstheme="minorHAnsi"/>
        </w:rPr>
        <w:t>Desde el 01 de febrero de 2020, el MINEM ha reasumido las funciones de Administrador del FISE, y de acuerdo a la Política Energética Nacional se desarrollan el Programa Anual de Promociones que tiene como fin la ejecución de programas que buscan fomentar el acceso al GLP, gas natural, fotovoltaicos, entre otros</w:t>
      </w:r>
    </w:p>
    <w:p w14:paraId="12CBEB55" w14:textId="1BFA111A" w:rsidR="00882F42" w:rsidRDefault="00A54C2A" w:rsidP="000059DF">
      <w:pPr>
        <w:pStyle w:val="Prrafodelista"/>
        <w:numPr>
          <w:ilvl w:val="0"/>
          <w:numId w:val="6"/>
        </w:numPr>
        <w:pBdr>
          <w:top w:val="nil"/>
          <w:left w:val="nil"/>
          <w:bottom w:val="nil"/>
          <w:right w:val="nil"/>
          <w:between w:val="nil"/>
        </w:pBdr>
        <w:spacing w:after="120" w:line="240" w:lineRule="auto"/>
        <w:ind w:left="851" w:hanging="284"/>
        <w:jc w:val="both"/>
        <w:rPr>
          <w:rFonts w:ascii="Arial Narrow" w:hAnsi="Arial Narrow" w:cstheme="minorHAnsi"/>
        </w:rPr>
      </w:pPr>
      <w:r>
        <w:rPr>
          <w:rFonts w:ascii="Arial Narrow" w:hAnsi="Arial Narrow" w:cstheme="minorHAnsi"/>
        </w:rPr>
        <w:t>E</w:t>
      </w:r>
      <w:r w:rsidRPr="00A54C2A">
        <w:rPr>
          <w:rFonts w:ascii="Arial Narrow" w:hAnsi="Arial Narrow" w:cstheme="minorHAnsi"/>
        </w:rPr>
        <w:t>ntre los proyectos a destacarse en este subsector se encuentran la masificación del gas natural en las ciudades de Cusco, Quillabamba y Calca (región Cusco), Puno y Juliaca (Puno), Huancayo y Jauja (Junín), Huamanga y Huanta (Ayacucho), Huancavelica (Huancavelica), Abancay y Andahuaylas (Apurímac), Pucallpa y Padre Abad (Ucayali).</w:t>
      </w:r>
    </w:p>
    <w:p w14:paraId="63CF1968" w14:textId="55699903" w:rsidR="00882F42" w:rsidRPr="004C52FE" w:rsidRDefault="00882F42" w:rsidP="00882F42">
      <w:pPr>
        <w:ind w:left="1134"/>
        <w:rPr>
          <w:rFonts w:ascii="Arial Narrow" w:hAnsi="Arial Narrow" w:cstheme="minorHAnsi"/>
          <w:b/>
        </w:rPr>
      </w:pPr>
    </w:p>
    <w:p w14:paraId="74EBA043" w14:textId="381F6FF9" w:rsidR="004507EA" w:rsidRDefault="004507EA" w:rsidP="004507EA">
      <w:pPr>
        <w:pStyle w:val="Prrafodelista"/>
        <w:numPr>
          <w:ilvl w:val="0"/>
          <w:numId w:val="5"/>
        </w:numPr>
        <w:ind w:left="284" w:hanging="218"/>
        <w:rPr>
          <w:rFonts w:ascii="Arial Narrow" w:hAnsi="Arial Narrow" w:cstheme="minorHAnsi"/>
          <w:b/>
        </w:rPr>
      </w:pPr>
      <w:r w:rsidRPr="004C52FE">
        <w:rPr>
          <w:rFonts w:ascii="Arial Narrow" w:hAnsi="Arial Narrow" w:cstheme="minorHAnsi"/>
          <w:b/>
        </w:rPr>
        <w:t>Alternativas para mejorar el cumplimiento e implementación de la política nacional</w:t>
      </w:r>
      <w:r w:rsidR="00186F80" w:rsidRPr="004C52FE">
        <w:rPr>
          <w:rFonts w:ascii="Arial Narrow" w:hAnsi="Arial Narrow" w:cstheme="minorHAnsi"/>
          <w:b/>
        </w:rPr>
        <w:t xml:space="preserve"> </w:t>
      </w:r>
    </w:p>
    <w:p w14:paraId="29176BD7" w14:textId="77777777" w:rsidR="000059DF" w:rsidRPr="00425A45" w:rsidRDefault="000059DF" w:rsidP="00EF1642">
      <w:pPr>
        <w:pStyle w:val="Prrafodelista"/>
        <w:ind w:left="284"/>
        <w:rPr>
          <w:rFonts w:ascii="Arial Narrow" w:hAnsi="Arial Narrow" w:cstheme="minorHAnsi"/>
          <w:b/>
        </w:rPr>
      </w:pPr>
    </w:p>
    <w:p w14:paraId="09CC1451" w14:textId="76274570" w:rsidR="00425A45" w:rsidRDefault="00425A45" w:rsidP="00425A45">
      <w:pPr>
        <w:pStyle w:val="Prrafodelista"/>
        <w:ind w:left="284"/>
        <w:jc w:val="both"/>
        <w:rPr>
          <w:rFonts w:ascii="Arial Narrow" w:hAnsi="Arial Narrow" w:cstheme="minorHAnsi"/>
        </w:rPr>
      </w:pPr>
      <w:r w:rsidRPr="00425A45">
        <w:rPr>
          <w:rFonts w:ascii="Arial Narrow" w:hAnsi="Arial Narrow" w:cstheme="minorHAnsi"/>
        </w:rPr>
        <w:t>La Política Energética Nacional del Perú 2010-2040, fue aprobada el 24 de noviembre del 2010, tomando como referencia los lineamientos del Plan Estratégico de Desarrollo Nacional – Plan Perú 2021, es enunciativa y define la Visión, Objetivos y Lineamientos de Política, entre los objetivos más resaltantes de la política energética nacional, se destaca el de desarrollar un sector energético con mínimo impacto ambiental y bajas emisiones de carbono en un marco de desarrollo sostenible.</w:t>
      </w:r>
    </w:p>
    <w:p w14:paraId="5B9FE07B" w14:textId="77777777" w:rsidR="00425A45" w:rsidRPr="00425A45" w:rsidRDefault="00425A45" w:rsidP="00425A45">
      <w:pPr>
        <w:pStyle w:val="Prrafodelista"/>
        <w:ind w:left="284"/>
        <w:jc w:val="both"/>
        <w:rPr>
          <w:rFonts w:ascii="Arial Narrow" w:hAnsi="Arial Narrow" w:cstheme="minorHAnsi"/>
        </w:rPr>
      </w:pPr>
    </w:p>
    <w:p w14:paraId="7534155B" w14:textId="0D881594" w:rsidR="00425A45" w:rsidRDefault="00425A45" w:rsidP="00425A45">
      <w:pPr>
        <w:pStyle w:val="Prrafodelista"/>
        <w:ind w:left="284"/>
        <w:jc w:val="both"/>
        <w:rPr>
          <w:rFonts w:ascii="Arial Narrow" w:hAnsi="Arial Narrow" w:cstheme="minorHAnsi"/>
        </w:rPr>
      </w:pPr>
      <w:r w:rsidRPr="00425A45">
        <w:rPr>
          <w:rFonts w:ascii="Arial Narrow" w:hAnsi="Arial Narrow" w:cstheme="minorHAnsi"/>
        </w:rPr>
        <w:t xml:space="preserve">A fin de cumplir con los objetivos definidos, se han construido indicadores proxys ante la imposibilidad de medir de manera efectiva y directa en relación a los objetivos definidos, asimismo se han considerado </w:t>
      </w:r>
      <w:r w:rsidRPr="00425A45">
        <w:rPr>
          <w:rFonts w:ascii="Arial Narrow" w:hAnsi="Arial Narrow" w:cstheme="minorHAnsi"/>
        </w:rPr>
        <w:lastRenderedPageBreak/>
        <w:t>indicadores del Plan Estratégico Multisectorial Multianual 2016-2025 que nos han servido de herramienta para contar con información cuantitativa y a partir de ello obtener un conjunto de variables relacionadas y tener una brecha existente y con ello el avance del logro.</w:t>
      </w:r>
      <w:r w:rsidR="00EF1642">
        <w:rPr>
          <w:rFonts w:ascii="Arial Narrow" w:hAnsi="Arial Narrow" w:cstheme="minorHAnsi"/>
        </w:rPr>
        <w:t xml:space="preserve"> </w:t>
      </w:r>
      <w:r w:rsidR="00893ACE">
        <w:rPr>
          <w:rFonts w:ascii="Arial Narrow" w:hAnsi="Arial Narrow" w:cstheme="minorHAnsi"/>
        </w:rPr>
        <w:t>A pesar de ello</w:t>
      </w:r>
      <w:r w:rsidR="00EF1642">
        <w:rPr>
          <w:rFonts w:ascii="Arial Narrow" w:hAnsi="Arial Narrow" w:cstheme="minorHAnsi"/>
        </w:rPr>
        <w:t xml:space="preserve">, no contamos </w:t>
      </w:r>
      <w:r w:rsidR="000F644A">
        <w:rPr>
          <w:rFonts w:ascii="Arial Narrow" w:hAnsi="Arial Narrow" w:cstheme="minorHAnsi"/>
          <w:noProof/>
        </w:rPr>
        <w:drawing>
          <wp:anchor distT="0" distB="0" distL="114300" distR="114300" simplePos="0" relativeHeight="251666432" behindDoc="1" locked="0" layoutInCell="1" allowOverlap="1" wp14:anchorId="1AE09F31" wp14:editId="6E5698C3">
            <wp:simplePos x="0" y="0"/>
            <wp:positionH relativeFrom="leftMargin">
              <wp:posOffset>233973</wp:posOffset>
            </wp:positionH>
            <wp:positionV relativeFrom="paragraph">
              <wp:posOffset>775942</wp:posOffset>
            </wp:positionV>
            <wp:extent cx="867064" cy="103439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64" cy="1034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642">
        <w:rPr>
          <w:rFonts w:ascii="Arial Narrow" w:hAnsi="Arial Narrow" w:cstheme="minorHAnsi"/>
        </w:rPr>
        <w:t>con indicadores de 3 objetivos de política y por tanto no podemos medir el avance</w:t>
      </w:r>
      <w:r w:rsidR="00893ACE">
        <w:rPr>
          <w:rFonts w:ascii="Arial Narrow" w:hAnsi="Arial Narrow" w:cstheme="minorHAnsi"/>
        </w:rPr>
        <w:t xml:space="preserve"> de ellos, sin embargo, se pondrá énfasis al momento de la implementación de la política. </w:t>
      </w:r>
    </w:p>
    <w:p w14:paraId="37873B24" w14:textId="7670249A" w:rsidR="00425A45" w:rsidRPr="00425A45" w:rsidRDefault="00425A45" w:rsidP="00425A45">
      <w:pPr>
        <w:pStyle w:val="Prrafodelista"/>
        <w:ind w:left="284"/>
        <w:jc w:val="both"/>
        <w:rPr>
          <w:rFonts w:ascii="Arial Narrow" w:hAnsi="Arial Narrow" w:cstheme="minorHAnsi"/>
        </w:rPr>
      </w:pPr>
    </w:p>
    <w:p w14:paraId="6A2436A9" w14:textId="48EC3415" w:rsidR="00425A45" w:rsidRDefault="00425A45" w:rsidP="00425A45">
      <w:pPr>
        <w:pStyle w:val="Prrafodelista"/>
        <w:ind w:left="284"/>
        <w:jc w:val="both"/>
        <w:rPr>
          <w:rFonts w:ascii="Arial Narrow" w:hAnsi="Arial Narrow" w:cstheme="minorHAnsi"/>
        </w:rPr>
      </w:pPr>
      <w:r w:rsidRPr="00425A45">
        <w:rPr>
          <w:rFonts w:ascii="Arial Narrow" w:hAnsi="Arial Narrow" w:cstheme="minorHAnsi"/>
        </w:rPr>
        <w:t xml:space="preserve">La mencionada política aún no se encuentra implementada en el marco del Reglamento que regula las Políticas Nacionales aprobada por Decreto Supremo </w:t>
      </w:r>
      <w:proofErr w:type="spellStart"/>
      <w:r w:rsidRPr="00425A45">
        <w:rPr>
          <w:rFonts w:ascii="Arial Narrow" w:hAnsi="Arial Narrow" w:cstheme="minorHAnsi"/>
        </w:rPr>
        <w:t>N°</w:t>
      </w:r>
      <w:proofErr w:type="spellEnd"/>
      <w:r w:rsidRPr="00425A45">
        <w:rPr>
          <w:rFonts w:ascii="Arial Narrow" w:hAnsi="Arial Narrow" w:cstheme="minorHAnsi"/>
        </w:rPr>
        <w:t xml:space="preserve"> 029-2018-PCM, debido al estado de emergencia por la pandemia se paralizó el proceso y actualmente se está trabajando en coordinación con las Direcciones Generales encargadas y el CEPLAN. A la fecha nos encontramos levantando observaciones del primer entregable de los pasos 1 y 2 de la Etapa de Diseño. </w:t>
      </w:r>
    </w:p>
    <w:p w14:paraId="6DD78F7B" w14:textId="40B83CCC" w:rsidR="00EF1642" w:rsidRDefault="00EF1642" w:rsidP="00425A45">
      <w:pPr>
        <w:pStyle w:val="Prrafodelista"/>
        <w:ind w:left="284"/>
        <w:jc w:val="both"/>
        <w:rPr>
          <w:rFonts w:ascii="Arial Narrow" w:hAnsi="Arial Narrow" w:cstheme="minorHAnsi"/>
        </w:rPr>
      </w:pPr>
    </w:p>
    <w:p w14:paraId="3005BE26" w14:textId="3BD5899A" w:rsidR="00EF1642" w:rsidRPr="00425A45" w:rsidRDefault="00EF1642" w:rsidP="00425A45">
      <w:pPr>
        <w:pStyle w:val="Prrafodelista"/>
        <w:ind w:left="284"/>
        <w:jc w:val="both"/>
        <w:rPr>
          <w:rFonts w:ascii="Arial Narrow" w:hAnsi="Arial Narrow" w:cstheme="minorHAnsi"/>
        </w:rPr>
      </w:pPr>
    </w:p>
    <w:p w14:paraId="00925B7A" w14:textId="1F25DCAE" w:rsidR="00425A45" w:rsidRPr="004C52FE" w:rsidRDefault="00425A45" w:rsidP="00425A45">
      <w:pPr>
        <w:pStyle w:val="Prrafodelista"/>
        <w:ind w:left="284"/>
        <w:rPr>
          <w:rFonts w:ascii="Arial Narrow" w:hAnsi="Arial Narrow" w:cstheme="minorHAnsi"/>
          <w:b/>
        </w:rPr>
      </w:pPr>
    </w:p>
    <w:p w14:paraId="2F8D7826" w14:textId="246338D5" w:rsidR="00E450F7" w:rsidRPr="004C52FE" w:rsidRDefault="00E450F7" w:rsidP="00E450F7">
      <w:pPr>
        <w:rPr>
          <w:rFonts w:ascii="Arial Narrow" w:hAnsi="Arial Narrow" w:cstheme="minorHAnsi"/>
          <w:b/>
          <w:color w:val="7B7B7B" w:themeColor="accent3" w:themeShade="BF"/>
          <w:sz w:val="24"/>
        </w:rPr>
      </w:pPr>
      <w:bookmarkStart w:id="1" w:name="_GoBack"/>
      <w:bookmarkEnd w:id="1"/>
    </w:p>
    <w:sectPr w:rsidR="00E450F7" w:rsidRPr="004C52FE" w:rsidSect="00A202C1">
      <w:footerReference w:type="default" r:id="rId9"/>
      <w:headerReference w:type="first" r:id="rId10"/>
      <w:footerReference w:type="first" r:id="rId11"/>
      <w:pgSz w:w="11906" w:h="16838"/>
      <w:pgMar w:top="1560"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900B" w14:textId="77777777" w:rsidR="00CE5DC0" w:rsidRDefault="00CE5DC0" w:rsidP="0027482E">
      <w:pPr>
        <w:spacing w:after="0" w:line="240" w:lineRule="auto"/>
      </w:pPr>
      <w:r>
        <w:separator/>
      </w:r>
    </w:p>
  </w:endnote>
  <w:endnote w:type="continuationSeparator" w:id="0">
    <w:p w14:paraId="00537E1B" w14:textId="77777777" w:rsidR="00CE5DC0" w:rsidRDefault="00CE5DC0" w:rsidP="0027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45DA" w14:textId="77777777" w:rsidR="00BC6148" w:rsidRDefault="00BC6148">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0340863D" w14:textId="77777777" w:rsidR="00BC6148" w:rsidRDefault="00BC61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692329"/>
      <w:docPartObj>
        <w:docPartGallery w:val="Page Numbers (Bottom of Page)"/>
        <w:docPartUnique/>
      </w:docPartObj>
    </w:sdtPr>
    <w:sdtEndPr/>
    <w:sdtContent>
      <w:p w14:paraId="4867B191" w14:textId="10BC1FBD" w:rsidR="00A202C1" w:rsidRDefault="00A202C1">
        <w:pPr>
          <w:pStyle w:val="Piedepgina"/>
          <w:jc w:val="right"/>
        </w:pPr>
        <w:r>
          <w:fldChar w:fldCharType="begin"/>
        </w:r>
        <w:r>
          <w:instrText>PAGE   \* MERGEFORMAT</w:instrText>
        </w:r>
        <w:r>
          <w:fldChar w:fldCharType="separate"/>
        </w:r>
        <w:r>
          <w:rPr>
            <w:lang w:val="es-ES"/>
          </w:rPr>
          <w:t>2</w:t>
        </w:r>
        <w:r>
          <w:fldChar w:fldCharType="end"/>
        </w:r>
      </w:p>
    </w:sdtContent>
  </w:sdt>
  <w:p w14:paraId="6249DCA0" w14:textId="77777777" w:rsidR="00A202C1" w:rsidRDefault="00A202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4D1D8" w14:textId="77777777" w:rsidR="00CE5DC0" w:rsidRDefault="00CE5DC0" w:rsidP="0027482E">
      <w:pPr>
        <w:spacing w:after="0" w:line="240" w:lineRule="auto"/>
      </w:pPr>
      <w:r>
        <w:separator/>
      </w:r>
    </w:p>
  </w:footnote>
  <w:footnote w:type="continuationSeparator" w:id="0">
    <w:p w14:paraId="5DED91D1" w14:textId="77777777" w:rsidR="00CE5DC0" w:rsidRDefault="00CE5DC0" w:rsidP="0027482E">
      <w:pPr>
        <w:spacing w:after="0" w:line="240" w:lineRule="auto"/>
      </w:pPr>
      <w:r>
        <w:continuationSeparator/>
      </w:r>
    </w:p>
  </w:footnote>
  <w:footnote w:id="1">
    <w:p w14:paraId="240A6597" w14:textId="77777777" w:rsidR="00A54C2A" w:rsidRPr="003D59D8" w:rsidRDefault="00A54C2A" w:rsidP="00A54C2A">
      <w:pPr>
        <w:pStyle w:val="Textonotapie"/>
      </w:pPr>
      <w:r>
        <w:rPr>
          <w:rStyle w:val="Refdenotaalpie"/>
        </w:rPr>
        <w:footnoteRef/>
      </w:r>
      <w:r>
        <w:t xml:space="preserve"> </w:t>
      </w:r>
      <w:r w:rsidRPr="003D59D8">
        <w:rPr>
          <w:sz w:val="16"/>
          <w:szCs w:val="16"/>
        </w:rPr>
        <w:t xml:space="preserve">Al cierre del año 2020, se culminó con el Estudio de </w:t>
      </w:r>
      <w:proofErr w:type="spellStart"/>
      <w:r w:rsidRPr="003D59D8">
        <w:rPr>
          <w:sz w:val="16"/>
          <w:szCs w:val="16"/>
        </w:rPr>
        <w:t>Preinversión</w:t>
      </w:r>
      <w:proofErr w:type="spellEnd"/>
      <w:r w:rsidRPr="003D59D8">
        <w:rPr>
          <w:sz w:val="16"/>
          <w:szCs w:val="16"/>
        </w:rPr>
        <w:t xml:space="preserve"> Etapa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F2215" w14:textId="64204B7B" w:rsidR="00A202C1" w:rsidRDefault="00A202C1">
    <w:pPr>
      <w:pStyle w:val="Encabezado"/>
    </w:pPr>
    <w:r w:rsidRPr="00507619">
      <w:rPr>
        <w:noProof/>
      </w:rPr>
      <w:drawing>
        <wp:anchor distT="0" distB="0" distL="114300" distR="114300" simplePos="0" relativeHeight="251659264" behindDoc="0" locked="0" layoutInCell="1" allowOverlap="1" wp14:anchorId="7199972E" wp14:editId="25CB66FF">
          <wp:simplePos x="0" y="0"/>
          <wp:positionH relativeFrom="margin">
            <wp:posOffset>4667250</wp:posOffset>
          </wp:positionH>
          <wp:positionV relativeFrom="paragraph">
            <wp:posOffset>-235585</wp:posOffset>
          </wp:positionV>
          <wp:extent cx="1080000" cy="450528"/>
          <wp:effectExtent l="0" t="0" r="0" b="6985"/>
          <wp:wrapSquare wrapText="bothSides"/>
          <wp:docPr id="2" name="Picture 44">
            <a:extLst xmlns:a="http://schemas.openxmlformats.org/drawingml/2006/main">
              <a:ext uri="{FF2B5EF4-FFF2-40B4-BE49-F238E27FC236}">
                <a16:creationId xmlns:a16="http://schemas.microsoft.com/office/drawing/2014/main" id="{9A0FC65F-7936-48B7-83E9-7564FF012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4">
                    <a:extLst>
                      <a:ext uri="{FF2B5EF4-FFF2-40B4-BE49-F238E27FC236}">
                        <a16:creationId xmlns:a16="http://schemas.microsoft.com/office/drawing/2014/main" id="{9A0FC65F-7936-48B7-83E9-7564FF0128B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1515" t="28194" r="17092" b="26330"/>
                  <a:stretch/>
                </pic:blipFill>
                <pic:spPr>
                  <a:xfrm>
                    <a:off x="0" y="0"/>
                    <a:ext cx="1080000" cy="450528"/>
                  </a:xfrm>
                  <a:prstGeom prst="rect">
                    <a:avLst/>
                  </a:prstGeom>
                </pic:spPr>
              </pic:pic>
            </a:graphicData>
          </a:graphic>
          <wp14:sizeRelH relativeFrom="page">
            <wp14:pctWidth>0</wp14:pctWidth>
          </wp14:sizeRelH>
          <wp14:sizeRelV relativeFrom="page">
            <wp14:pctHeight>0</wp14:pctHeight>
          </wp14:sizeRelV>
        </wp:anchor>
      </w:drawing>
    </w:r>
    <w:r w:rsidR="00C7362D">
      <w:t xml:space="preserve">MINISTERIO DE ENERGÍAS Y MINAS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DC9"/>
    <w:multiLevelType w:val="hybridMultilevel"/>
    <w:tmpl w:val="95E054F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9CD304E"/>
    <w:multiLevelType w:val="hybridMultilevel"/>
    <w:tmpl w:val="A13AB45C"/>
    <w:lvl w:ilvl="0" w:tplc="E17847F8">
      <w:start w:val="1"/>
      <w:numFmt w:val="upperRoman"/>
      <w:lvlText w:val="%1."/>
      <w:lvlJc w:val="left"/>
      <w:pPr>
        <w:ind w:left="1080" w:hanging="720"/>
      </w:pPr>
      <w:rPr>
        <w:rFonts w:hint="default"/>
        <w:color w:val="2F5496" w:themeColor="accent1" w:themeShade="BF"/>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484BB9"/>
    <w:multiLevelType w:val="hybridMultilevel"/>
    <w:tmpl w:val="B13CCB3E"/>
    <w:lvl w:ilvl="0" w:tplc="82C2D1AE">
      <w:start w:val="1"/>
      <w:numFmt w:val="upperRoman"/>
      <w:lvlText w:val="%1."/>
      <w:lvlJc w:val="left"/>
      <w:pPr>
        <w:ind w:left="1080" w:hanging="720"/>
      </w:pPr>
      <w:rPr>
        <w:rFonts w:hint="default"/>
        <w:color w:val="2F5496" w:themeColor="accent1"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85E1660"/>
    <w:multiLevelType w:val="hybridMultilevel"/>
    <w:tmpl w:val="5A781CCA"/>
    <w:lvl w:ilvl="0" w:tplc="E0746BE4">
      <w:numFmt w:val="bullet"/>
      <w:lvlText w:val="-"/>
      <w:lvlJc w:val="left"/>
      <w:pPr>
        <w:ind w:left="928" w:hanging="360"/>
      </w:pPr>
      <w:rPr>
        <w:rFonts w:ascii="Calibri" w:eastAsiaTheme="minorHAnsi" w:hAnsi="Calibri" w:cstheme="minorBid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714938"/>
    <w:multiLevelType w:val="hybridMultilevel"/>
    <w:tmpl w:val="BD10AD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673A3D"/>
    <w:multiLevelType w:val="hybridMultilevel"/>
    <w:tmpl w:val="D91819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F0369DF"/>
    <w:multiLevelType w:val="hybridMultilevel"/>
    <w:tmpl w:val="1B363134"/>
    <w:lvl w:ilvl="0" w:tplc="C7B86780">
      <w:start w:val="1"/>
      <w:numFmt w:val="bullet"/>
      <w:lvlText w:val="-"/>
      <w:lvlJc w:val="left"/>
      <w:pPr>
        <w:ind w:left="720" w:hanging="360"/>
      </w:pPr>
      <w:rPr>
        <w:rFonts w:ascii="Calibri" w:eastAsiaTheme="minorHAnsi" w:hAnsi="Calibri"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F3B49DF"/>
    <w:multiLevelType w:val="hybridMultilevel"/>
    <w:tmpl w:val="DE4E0DA2"/>
    <w:lvl w:ilvl="0" w:tplc="6068EEE4">
      <w:start w:val="1"/>
      <w:numFmt w:val="upperLetter"/>
      <w:lvlText w:val="%1."/>
      <w:lvlJc w:val="left"/>
      <w:pPr>
        <w:ind w:left="720" w:hanging="360"/>
      </w:pPr>
      <w:rPr>
        <w:rFonts w:hint="default"/>
        <w:color w:val="2F5496" w:themeColor="accent1" w:themeShade="BF"/>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8B0100D"/>
    <w:multiLevelType w:val="hybridMultilevel"/>
    <w:tmpl w:val="0636C0FE"/>
    <w:lvl w:ilvl="0" w:tplc="E0746BE4">
      <w:numFmt w:val="bullet"/>
      <w:lvlText w:val="-"/>
      <w:lvlJc w:val="left"/>
      <w:pPr>
        <w:ind w:left="1177" w:hanging="360"/>
      </w:pPr>
      <w:rPr>
        <w:rFonts w:ascii="Calibri" w:eastAsiaTheme="minorHAnsi" w:hAnsi="Calibri" w:cstheme="minorBidi" w:hint="default"/>
        <w:b w:val="0"/>
      </w:rPr>
    </w:lvl>
    <w:lvl w:ilvl="1" w:tplc="280A0003" w:tentative="1">
      <w:start w:val="1"/>
      <w:numFmt w:val="bullet"/>
      <w:lvlText w:val="o"/>
      <w:lvlJc w:val="left"/>
      <w:pPr>
        <w:ind w:left="1897" w:hanging="360"/>
      </w:pPr>
      <w:rPr>
        <w:rFonts w:ascii="Courier New" w:hAnsi="Courier New" w:cs="Courier New" w:hint="default"/>
      </w:rPr>
    </w:lvl>
    <w:lvl w:ilvl="2" w:tplc="280A0005" w:tentative="1">
      <w:start w:val="1"/>
      <w:numFmt w:val="bullet"/>
      <w:lvlText w:val=""/>
      <w:lvlJc w:val="left"/>
      <w:pPr>
        <w:ind w:left="2617" w:hanging="360"/>
      </w:pPr>
      <w:rPr>
        <w:rFonts w:ascii="Wingdings" w:hAnsi="Wingdings" w:hint="default"/>
      </w:rPr>
    </w:lvl>
    <w:lvl w:ilvl="3" w:tplc="280A0001" w:tentative="1">
      <w:start w:val="1"/>
      <w:numFmt w:val="bullet"/>
      <w:lvlText w:val=""/>
      <w:lvlJc w:val="left"/>
      <w:pPr>
        <w:ind w:left="3337" w:hanging="360"/>
      </w:pPr>
      <w:rPr>
        <w:rFonts w:ascii="Symbol" w:hAnsi="Symbol" w:hint="default"/>
      </w:rPr>
    </w:lvl>
    <w:lvl w:ilvl="4" w:tplc="280A0003" w:tentative="1">
      <w:start w:val="1"/>
      <w:numFmt w:val="bullet"/>
      <w:lvlText w:val="o"/>
      <w:lvlJc w:val="left"/>
      <w:pPr>
        <w:ind w:left="4057" w:hanging="360"/>
      </w:pPr>
      <w:rPr>
        <w:rFonts w:ascii="Courier New" w:hAnsi="Courier New" w:cs="Courier New" w:hint="default"/>
      </w:rPr>
    </w:lvl>
    <w:lvl w:ilvl="5" w:tplc="280A0005" w:tentative="1">
      <w:start w:val="1"/>
      <w:numFmt w:val="bullet"/>
      <w:lvlText w:val=""/>
      <w:lvlJc w:val="left"/>
      <w:pPr>
        <w:ind w:left="4777" w:hanging="360"/>
      </w:pPr>
      <w:rPr>
        <w:rFonts w:ascii="Wingdings" w:hAnsi="Wingdings" w:hint="default"/>
      </w:rPr>
    </w:lvl>
    <w:lvl w:ilvl="6" w:tplc="280A0001" w:tentative="1">
      <w:start w:val="1"/>
      <w:numFmt w:val="bullet"/>
      <w:lvlText w:val=""/>
      <w:lvlJc w:val="left"/>
      <w:pPr>
        <w:ind w:left="5497" w:hanging="360"/>
      </w:pPr>
      <w:rPr>
        <w:rFonts w:ascii="Symbol" w:hAnsi="Symbol" w:hint="default"/>
      </w:rPr>
    </w:lvl>
    <w:lvl w:ilvl="7" w:tplc="280A0003" w:tentative="1">
      <w:start w:val="1"/>
      <w:numFmt w:val="bullet"/>
      <w:lvlText w:val="o"/>
      <w:lvlJc w:val="left"/>
      <w:pPr>
        <w:ind w:left="6217" w:hanging="360"/>
      </w:pPr>
      <w:rPr>
        <w:rFonts w:ascii="Courier New" w:hAnsi="Courier New" w:cs="Courier New" w:hint="default"/>
      </w:rPr>
    </w:lvl>
    <w:lvl w:ilvl="8" w:tplc="280A0005" w:tentative="1">
      <w:start w:val="1"/>
      <w:numFmt w:val="bullet"/>
      <w:lvlText w:val=""/>
      <w:lvlJc w:val="left"/>
      <w:pPr>
        <w:ind w:left="6937" w:hanging="360"/>
      </w:pPr>
      <w:rPr>
        <w:rFonts w:ascii="Wingdings" w:hAnsi="Wingdings" w:hint="default"/>
      </w:rPr>
    </w:lvl>
  </w:abstractNum>
  <w:abstractNum w:abstractNumId="9" w15:restartNumberingAfterBreak="0">
    <w:nsid w:val="62841D39"/>
    <w:multiLevelType w:val="hybridMultilevel"/>
    <w:tmpl w:val="7DB055B4"/>
    <w:lvl w:ilvl="0" w:tplc="E0746BE4">
      <w:numFmt w:val="bullet"/>
      <w:lvlText w:val="-"/>
      <w:lvlJc w:val="left"/>
      <w:pPr>
        <w:ind w:left="1146" w:hanging="360"/>
      </w:pPr>
      <w:rPr>
        <w:rFonts w:ascii="Calibri" w:eastAsiaTheme="minorHAnsi" w:hAnsi="Calibri" w:cstheme="minorBidi" w:hint="default"/>
        <w:b w:val="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6C263090"/>
    <w:multiLevelType w:val="multilevel"/>
    <w:tmpl w:val="25267E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7B7B7B" w:themeColor="accent3" w:themeShade="B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2"/>
  </w:num>
  <w:num w:numId="4">
    <w:abstractNumId w:val="7"/>
  </w:num>
  <w:num w:numId="5">
    <w:abstractNumId w:val="4"/>
  </w:num>
  <w:num w:numId="6">
    <w:abstractNumId w:val="9"/>
  </w:num>
  <w:num w:numId="7">
    <w:abstractNumId w:val="5"/>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F7"/>
    <w:rsid w:val="000059DF"/>
    <w:rsid w:val="000312B0"/>
    <w:rsid w:val="000F644A"/>
    <w:rsid w:val="0018407B"/>
    <w:rsid w:val="00186F80"/>
    <w:rsid w:val="001A2181"/>
    <w:rsid w:val="001A4937"/>
    <w:rsid w:val="0027482E"/>
    <w:rsid w:val="00286D52"/>
    <w:rsid w:val="002A7A43"/>
    <w:rsid w:val="003234EF"/>
    <w:rsid w:val="003503DA"/>
    <w:rsid w:val="003539C3"/>
    <w:rsid w:val="003E3943"/>
    <w:rsid w:val="003F0388"/>
    <w:rsid w:val="004041BC"/>
    <w:rsid w:val="00407528"/>
    <w:rsid w:val="00425A45"/>
    <w:rsid w:val="00446CD0"/>
    <w:rsid w:val="004507EA"/>
    <w:rsid w:val="004515CF"/>
    <w:rsid w:val="004C52FE"/>
    <w:rsid w:val="004C7185"/>
    <w:rsid w:val="004E645B"/>
    <w:rsid w:val="004F5A58"/>
    <w:rsid w:val="00596CBA"/>
    <w:rsid w:val="005A573A"/>
    <w:rsid w:val="005F37AD"/>
    <w:rsid w:val="006062E5"/>
    <w:rsid w:val="00613288"/>
    <w:rsid w:val="006C4818"/>
    <w:rsid w:val="007069E7"/>
    <w:rsid w:val="00712CCB"/>
    <w:rsid w:val="007F70E1"/>
    <w:rsid w:val="0084450D"/>
    <w:rsid w:val="00882F42"/>
    <w:rsid w:val="00893ACE"/>
    <w:rsid w:val="0089448E"/>
    <w:rsid w:val="008C68A8"/>
    <w:rsid w:val="008F34D3"/>
    <w:rsid w:val="009141B1"/>
    <w:rsid w:val="00936CF8"/>
    <w:rsid w:val="0095345C"/>
    <w:rsid w:val="009547C8"/>
    <w:rsid w:val="00975765"/>
    <w:rsid w:val="00982B07"/>
    <w:rsid w:val="009E5C75"/>
    <w:rsid w:val="00A02CCA"/>
    <w:rsid w:val="00A202C1"/>
    <w:rsid w:val="00A2766C"/>
    <w:rsid w:val="00A54C2A"/>
    <w:rsid w:val="00AC5AE2"/>
    <w:rsid w:val="00AE5F14"/>
    <w:rsid w:val="00AF0A61"/>
    <w:rsid w:val="00B424EF"/>
    <w:rsid w:val="00B65589"/>
    <w:rsid w:val="00BC6148"/>
    <w:rsid w:val="00BE6EC6"/>
    <w:rsid w:val="00C32DE0"/>
    <w:rsid w:val="00C713CE"/>
    <w:rsid w:val="00C7362D"/>
    <w:rsid w:val="00CB2D79"/>
    <w:rsid w:val="00CE5DC0"/>
    <w:rsid w:val="00D7676F"/>
    <w:rsid w:val="00D90168"/>
    <w:rsid w:val="00DC39A3"/>
    <w:rsid w:val="00DD6AA9"/>
    <w:rsid w:val="00DE201E"/>
    <w:rsid w:val="00E15054"/>
    <w:rsid w:val="00E450F7"/>
    <w:rsid w:val="00EF1642"/>
    <w:rsid w:val="00F22FBE"/>
    <w:rsid w:val="00F52D3D"/>
    <w:rsid w:val="00F55EDB"/>
    <w:rsid w:val="00F81D4A"/>
    <w:rsid w:val="00FC0CA2"/>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F1765"/>
  <w15:chartTrackingRefBased/>
  <w15:docId w15:val="{4AAA5743-C352-433F-8EB2-05DA951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F7"/>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Cita Pie de Página,titulo,Iz - Párrafo de lista,Sivsa Parrafo,Titulo de Fígura,Párrafo Normal,Lista 123,Lista vistosa - Énfasis 11,titulo 5,MAPA,Viñeta,TITULO A,Cuadro 2-1,paul2,SubPárrafo de lista,Footnote"/>
    <w:basedOn w:val="Normal"/>
    <w:link w:val="PrrafodelistaCar"/>
    <w:uiPriority w:val="34"/>
    <w:qFormat/>
    <w:rsid w:val="00E450F7"/>
    <w:pPr>
      <w:ind w:left="720"/>
      <w:contextualSpacing/>
    </w:pPr>
  </w:style>
  <w:style w:type="character" w:customStyle="1" w:styleId="PrrafodelistaCar">
    <w:name w:val="Párrafo de lista Car"/>
    <w:aliases w:val="Bulleted List Car,Fundamentacion Car,Cita Pie de Página Car,titulo Car,Iz - Párrafo de lista Car,Sivsa Parrafo Car,Titulo de Fígura Car,Párrafo Normal Car,Lista 123 Car,Lista vistosa - Énfasis 11 Car,titulo 5 Car,MAPA Car,Viñeta Car"/>
    <w:basedOn w:val="Fuentedeprrafopredeter"/>
    <w:link w:val="Prrafodelista"/>
    <w:uiPriority w:val="34"/>
    <w:locked/>
    <w:rsid w:val="00E450F7"/>
    <w:rPr>
      <w:rFonts w:eastAsiaTheme="minorEastAsia"/>
      <w:lang w:eastAsia="es-PE"/>
    </w:rPr>
  </w:style>
  <w:style w:type="table" w:styleId="Tablaconcuadrcula">
    <w:name w:val="Table Grid"/>
    <w:basedOn w:val="Tablanormal"/>
    <w:uiPriority w:val="39"/>
    <w:rsid w:val="00E450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Geneva 9,Font: Geneva 9,Boston 10,f,Car4,Car Car"/>
    <w:basedOn w:val="Normal"/>
    <w:link w:val="TextonotapieCar"/>
    <w:unhideWhenUsed/>
    <w:rsid w:val="0027482E"/>
    <w:pPr>
      <w:spacing w:after="0" w:line="240" w:lineRule="auto"/>
    </w:pPr>
    <w:rPr>
      <w:sz w:val="20"/>
      <w:szCs w:val="20"/>
    </w:rPr>
  </w:style>
  <w:style w:type="character" w:customStyle="1" w:styleId="TextonotapieCar">
    <w:name w:val="Texto nota pie Car"/>
    <w:aliases w:val="Footnote Text Char Car,Geneva 9 Car,Font: Geneva 9 Car,Boston 10 Car,f Car,Car4 Car,Car Car Car"/>
    <w:basedOn w:val="Fuentedeprrafopredeter"/>
    <w:link w:val="Textonotapie"/>
    <w:rsid w:val="0027482E"/>
    <w:rPr>
      <w:rFonts w:eastAsiaTheme="minorEastAsia"/>
      <w:sz w:val="20"/>
      <w:szCs w:val="20"/>
      <w:lang w:eastAsia="es-PE"/>
    </w:rPr>
  </w:style>
  <w:style w:type="character" w:styleId="Refdenotaalpie">
    <w:name w:val="footnote reference"/>
    <w:basedOn w:val="Fuentedeprrafopredeter"/>
    <w:unhideWhenUsed/>
    <w:rsid w:val="0027482E"/>
    <w:rPr>
      <w:vertAlign w:val="superscript"/>
    </w:rPr>
  </w:style>
  <w:style w:type="paragraph" w:styleId="Encabezado">
    <w:name w:val="header"/>
    <w:basedOn w:val="Normal"/>
    <w:link w:val="EncabezadoCar"/>
    <w:uiPriority w:val="99"/>
    <w:unhideWhenUsed/>
    <w:rsid w:val="00A202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2C1"/>
    <w:rPr>
      <w:rFonts w:eastAsiaTheme="minorEastAsia"/>
      <w:lang w:eastAsia="es-PE"/>
    </w:rPr>
  </w:style>
  <w:style w:type="paragraph" w:styleId="Piedepgina">
    <w:name w:val="footer"/>
    <w:basedOn w:val="Normal"/>
    <w:link w:val="PiedepginaCar"/>
    <w:uiPriority w:val="99"/>
    <w:unhideWhenUsed/>
    <w:rsid w:val="00A202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2C1"/>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F3D0-6829-43F3-B81B-C2F37547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2139</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DNSE - CEPLAN</dc:creator>
  <cp:keywords/>
  <dc:description/>
  <cp:lastModifiedBy>Requena Calderon Alejandro</cp:lastModifiedBy>
  <cp:revision>8</cp:revision>
  <cp:lastPrinted>2021-06-12T23:32:00Z</cp:lastPrinted>
  <dcterms:created xsi:type="dcterms:W3CDTF">2021-06-12T19:08:00Z</dcterms:created>
  <dcterms:modified xsi:type="dcterms:W3CDTF">2021-06-12T23:33:00Z</dcterms:modified>
</cp:coreProperties>
</file>